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中共岳阳市君山区委政策研究中心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负责区委向上级的汇报材料、综合材料起草；围绕区委总体工作部署、中心工作和领导交办的课题开展调查研究，提出预案和建议；根据区委的意图，围绕中心工作，进行有关经济、政治、社会和党建等方面方针、政策问题的调查研究，提出意见和建议，供区委决策参考，并进行决策后的跟踪调查，为完善区委决策服务；在区委领导同志主持下，起草或修改区委重要政策性文件，负责或参与区委领导同志报告、讲话等文稿的起草工作；协助有关刊物的编辑工作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中共岳阳市君山区委政策研究中心内设机构1个，为综合办公室。正科级事业单位，财政全额拨款，核定事业编制7名，其中领导职数1正2副。</w:t>
      </w:r>
      <w:bookmarkStart w:id="5" w:name="_GoBack"/>
      <w:bookmarkEnd w:id="5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中共岳阳市君山区委政策研究中心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只有本级，没有其他二级预算单位，因此，纳入2024年部门预算编制范围的只有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中共岳阳市君山区委政策研究中心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包括一般公共预算、政府性基金、国有资本经营预算等财政拨款收入，以及经营收入、事业收入等单位资金。2024年本单位收入预算92.11万元，其中，一般公共预算拨款92.11万元，政府性基金预算资金0.00万元(所以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空)，上级补助收入资金0.00万元，事业单位经营收入资金0.00万元，上年结转结余0.00万元。收入较上年增加10.91万元，上升13.43%。主要原因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2024年增加了一名工作人员，从而导致工资福利支出及商品服务支出增加。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2024年本单位支出预算92.11万元，其中：一般公共服务支出75.3万元，社会保障和就业支出7.8万元，卫生健康支出3.29万元，住房保障支出5.72万元。支出较上年增加10.91万元，上升13.43%。主要原因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2024年增加了一名工作人员，从而导致工资福利支出及商品服务支出增加。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3053080"/>
            <wp:effectExtent l="4445" t="4445" r="18415" b="9525"/>
            <wp:docPr id="1" name="图表 1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2024年本单位一般公共预算拨款支出92.11万元，其中：一般公共服务支出75.3万元，占81.75%；社会保障和就业支出7.8万元，占8.47%；卫生健康支出3.29万元，占3.57%；住房保障支出5.72万元，占6.21%。具体安排情况如下：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2024年本单位基本支出预算数75.31万元，主要是为保障单位正常运转、完成日常工作任务而发生的各项支出，包括用于基本工资、津贴补贴等人员经费以及办公费、印刷费、水电费、办公设备购置等公用经费。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16.8万元，主要是本单位为完成特定工作任务或事业发展目标而发生的支出，包括业务工作经费、政策研究专项等，其中：一般公共服务支出16.8万元，主要用于政策研究中心日常工作开支以及区委政策专项资金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2024年区委政策研究中心机关运行经费10.8万元，比上年预算上升5.23%。主要原因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2024年增加了一名工作人员，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成公用经费预算增加。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1万元，其中，公务接待费1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  <w:bookmarkStart w:id="1" w:name="DIS_MARK_IS_ZERO_06_2"/>
      <w:bookmarkEnd w:id="1"/>
      <w:bookmarkStart w:id="2" w:name="START_IS_ZERO_06_2"/>
      <w:bookmarkEnd w:id="2"/>
      <w:bookmarkStart w:id="3" w:name="END_IS_ZERO_06_2"/>
      <w:bookmarkEnd w:id="3"/>
      <w:bookmarkStart w:id="4" w:name="END_IS_ZERO_06_1"/>
      <w:bookmarkEnd w:id="4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2024年本部门会议费预算0万元，拟召开0次会议，人数0人；培训费预算0万元，拟开展0次培训，人数0人；2024年度本部门未计划举办节庆、晚会、论坛、赛事活动，经费预算0万元。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2024年本单位政府采购预算总额16.8万元，其中，货物类采购预算6.8万元；工程类采购预算0万元；服务类采购预算10万元。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本单位所有支出实行绩效目标管理。纳入2024年单位整体支出绩效目标的金额为92.11万元，其中，基本支出75.31万元，项目支出16.8万元，具体绩效目标详见文尾附表中部门预算公开表21-22表。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both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附件：中共岳阳市君山区委政策研究中心2024年部门预算公开表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GQ2ZDdhZDNjNWUyMjRiNDQ1ZThhMzRkNTJiM2QifQ=="/>
  </w:docVars>
  <w:rsids>
    <w:rsidRoot w:val="637274E6"/>
    <w:rsid w:val="01EC3E90"/>
    <w:rsid w:val="02140C7A"/>
    <w:rsid w:val="03FD24AB"/>
    <w:rsid w:val="046523F8"/>
    <w:rsid w:val="088363E7"/>
    <w:rsid w:val="0A367C8B"/>
    <w:rsid w:val="0AD8381E"/>
    <w:rsid w:val="0B172D74"/>
    <w:rsid w:val="0B5218A1"/>
    <w:rsid w:val="0B653E82"/>
    <w:rsid w:val="0E042561"/>
    <w:rsid w:val="0F2A3A2C"/>
    <w:rsid w:val="10797237"/>
    <w:rsid w:val="16042156"/>
    <w:rsid w:val="16247C45"/>
    <w:rsid w:val="167C1082"/>
    <w:rsid w:val="192632E6"/>
    <w:rsid w:val="1B6F1962"/>
    <w:rsid w:val="1C744CBF"/>
    <w:rsid w:val="1C914169"/>
    <w:rsid w:val="1F572E39"/>
    <w:rsid w:val="1F6F0188"/>
    <w:rsid w:val="1F8154A2"/>
    <w:rsid w:val="20034AD4"/>
    <w:rsid w:val="22767EB0"/>
    <w:rsid w:val="22861ED8"/>
    <w:rsid w:val="25005959"/>
    <w:rsid w:val="27562CA6"/>
    <w:rsid w:val="286F1B1C"/>
    <w:rsid w:val="28D728F5"/>
    <w:rsid w:val="2A5727A7"/>
    <w:rsid w:val="2B3247EE"/>
    <w:rsid w:val="2DC518B5"/>
    <w:rsid w:val="2E9372BE"/>
    <w:rsid w:val="30F54535"/>
    <w:rsid w:val="328F1D91"/>
    <w:rsid w:val="36214EDF"/>
    <w:rsid w:val="395E7E49"/>
    <w:rsid w:val="398C704B"/>
    <w:rsid w:val="3A486D41"/>
    <w:rsid w:val="3CB10683"/>
    <w:rsid w:val="3E321F3C"/>
    <w:rsid w:val="3E4B1963"/>
    <w:rsid w:val="40731651"/>
    <w:rsid w:val="40BA4B7E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2077AEA"/>
    <w:rsid w:val="55E76771"/>
    <w:rsid w:val="58AA6296"/>
    <w:rsid w:val="58AF2EC0"/>
    <w:rsid w:val="5A13112F"/>
    <w:rsid w:val="5BC30933"/>
    <w:rsid w:val="5DC12353"/>
    <w:rsid w:val="60B42209"/>
    <w:rsid w:val="637274E6"/>
    <w:rsid w:val="63E65795"/>
    <w:rsid w:val="65B57FA7"/>
    <w:rsid w:val="675A13CF"/>
    <w:rsid w:val="682C3048"/>
    <w:rsid w:val="6B1B73BC"/>
    <w:rsid w:val="6F4B168B"/>
    <w:rsid w:val="70F118E0"/>
    <w:rsid w:val="71704C61"/>
    <w:rsid w:val="719F6C19"/>
    <w:rsid w:val="7330589F"/>
    <w:rsid w:val="78CC0C1A"/>
    <w:rsid w:val="7AC72DA9"/>
    <w:rsid w:val="7AE949AB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>
              <a:outerShdw blurRad="63500" sx="102000" sy="102000" algn="ctr" rotWithShape="0">
                <a:prstClr val="black">
                  <a:alpha val="3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D9EDEE">
                  <a:lumMod val="50000"/>
                </a:srgbClr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63500" sx="102000" sy="102000" algn="ctr" rotWithShape="0">
                  <a:prstClr val="black">
                    <a:alpha val="3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0.014872315135265"/>
                  <c:y val="0.060768933084684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0.8175</c:v>
                </c:pt>
                <c:pt idx="1">
                  <c:v>0.0847</c:v>
                </c:pt>
                <c:pt idx="2">
                  <c:v>0.0357</c:v>
                </c:pt>
                <c:pt idx="3">
                  <c:v>0.0621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754">
    <a:dk1>
      <a:srgbClr val="000000"/>
    </a:dk1>
    <a:lt1>
      <a:srgbClr val="FFFFFF"/>
    </a:lt1>
    <a:dk2>
      <a:srgbClr val="0C0E1F"/>
    </a:dk2>
    <a:lt2>
      <a:srgbClr val="FEFFFF"/>
    </a:lt2>
    <a:accent1>
      <a:srgbClr val="04CD9E"/>
    </a:accent1>
    <a:accent2>
      <a:srgbClr val="80E214"/>
    </a:accent2>
    <a:accent3>
      <a:srgbClr val="119FBE"/>
    </a:accent3>
    <a:accent4>
      <a:srgbClr val="EBC279"/>
    </a:accent4>
    <a:accent5>
      <a:srgbClr val="F95F5F"/>
    </a:accent5>
    <a:accent6>
      <a:srgbClr val="A15C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3557</Words>
  <Characters>3814</Characters>
  <Lines>0</Lines>
  <Paragraphs>0</Paragraphs>
  <TotalTime>1</TotalTime>
  <ScaleCrop>false</ScaleCrop>
  <LinksUpToDate>false</LinksUpToDate>
  <CharactersWithSpaces>3820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默默有为</cp:lastModifiedBy>
  <dcterms:modified xsi:type="dcterms:W3CDTF">2024-06-24T01:10:50Z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4B589B6B695C4DC7952F61D9C4C27BB6_13</vt:lpwstr>
  </property>
</Properties>
</file>