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default"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岳阳市君山区农村公路养护中心</w:t>
      </w:r>
    </w:p>
    <w:p>
      <w:pPr>
        <w:spacing w:line="570" w:lineRule="atLeast"/>
        <w:jc w:val="center"/>
        <w:rPr>
          <w:rFonts w:hint="eastAsia" w:ascii="黑体" w:hAnsi="黑体" w:eastAsia="黑体" w:cs="黑体"/>
          <w:b/>
          <w:bCs/>
          <w:sz w:val="48"/>
          <w:szCs w:val="48"/>
        </w:rPr>
      </w:pPr>
      <w:r>
        <w:rPr>
          <w:rFonts w:hint="eastAsia" w:ascii="方正小标宋简体" w:hAnsi="方正小标宋简体" w:eastAsia="方正小标宋简体" w:cs="方正小标宋简体"/>
          <w:b/>
          <w:bCs/>
          <w:sz w:val="44"/>
          <w:szCs w:val="44"/>
          <w:lang w:val="en-US" w:eastAsia="zh-CN"/>
        </w:rPr>
        <w:t>2024年部门预算公开</w:t>
      </w:r>
    </w:p>
    <w:p>
      <w:pPr>
        <w:rPr>
          <w:rFonts w:hint="eastAsia"/>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hint="eastAsia" w:asciiTheme="minorEastAsia" w:hAnsiTheme="minorEastAsia" w:eastAsiaTheme="minorEastAsia" w:cstheme="minorEastAsia"/>
          <w:b/>
          <w:bCs/>
          <w:sz w:val="28"/>
          <w:szCs w:val="28"/>
        </w:rPr>
      </w:pPr>
    </w:p>
    <w:p>
      <w:pPr>
        <w:jc w:val="center"/>
        <w:rPr>
          <w:rFonts w:hint="eastAsia"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ind w:firstLine="643" w:firstLineChars="200"/>
        <w:rPr>
          <w:rFonts w:hint="eastAsia" w:ascii="Times New Roman" w:hAnsi="Times New Roman" w:eastAsia="黑体" w:cs="Times New Roman"/>
          <w:b/>
          <w:bCs/>
          <w:kern w:val="0"/>
          <w:sz w:val="32"/>
          <w:szCs w:val="32"/>
        </w:rPr>
      </w:pP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rPr>
        <w:t>一、</w:t>
      </w:r>
      <w:r>
        <w:rPr>
          <w:rFonts w:hint="eastAsia" w:ascii="Times New Roman" w:hAnsi="Times New Roman" w:eastAsia="黑体" w:cs="Times New Roman"/>
          <w:b/>
          <w:bCs/>
          <w:kern w:val="0"/>
          <w:sz w:val="32"/>
          <w:szCs w:val="32"/>
          <w:lang w:val="en-US" w:eastAsia="zh-CN"/>
        </w:rPr>
        <w:t>部门</w:t>
      </w:r>
      <w:r>
        <w:rPr>
          <w:rFonts w:hint="eastAsia" w:ascii="Times New Roman" w:hAnsi="Times New Roman" w:eastAsia="黑体" w:cs="Times New Roman"/>
          <w:b/>
          <w:bCs/>
          <w:kern w:val="0"/>
          <w:sz w:val="32"/>
          <w:szCs w:val="32"/>
        </w:rPr>
        <w:t>基本概况</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（一）职能职责</w:t>
      </w:r>
    </w:p>
    <w:p>
      <w:pPr>
        <w:widowControl/>
        <w:spacing w:line="600" w:lineRule="exact"/>
        <w:ind w:firstLine="627" w:firstLineChars="196"/>
        <w:jc w:val="left"/>
        <w:rPr>
          <w:rFonts w:hint="eastAsia" w:ascii="仿宋_GB2312" w:eastAsia="仿宋_GB2312" w:cs="宋体"/>
          <w:sz w:val="32"/>
          <w:szCs w:val="32"/>
          <w:highlight w:val="white"/>
          <w:lang w:val="zh-CN"/>
        </w:rPr>
      </w:pPr>
      <w:r>
        <w:rPr>
          <w:rFonts w:hint="eastAsia" w:ascii="仿宋_GB2312" w:eastAsia="仿宋_GB2312" w:cs="宋体"/>
          <w:sz w:val="32"/>
          <w:szCs w:val="32"/>
          <w:highlight w:val="white"/>
          <w:lang w:val="en-US" w:eastAsia="zh-CN"/>
        </w:rPr>
        <w:t>1、</w:t>
      </w:r>
      <w:r>
        <w:rPr>
          <w:rFonts w:hint="eastAsia" w:ascii="仿宋_GB2312" w:eastAsia="仿宋_GB2312" w:cs="宋体"/>
          <w:sz w:val="32"/>
          <w:szCs w:val="32"/>
          <w:highlight w:val="white"/>
          <w:lang w:val="zh-CN"/>
        </w:rPr>
        <w:t>负责监督指导全区农村公路的管理、养护、建设和协调工作；</w:t>
      </w:r>
    </w:p>
    <w:p>
      <w:pPr>
        <w:widowControl/>
        <w:spacing w:line="600" w:lineRule="exact"/>
        <w:ind w:firstLine="627" w:firstLineChars="196"/>
        <w:jc w:val="left"/>
        <w:rPr>
          <w:rFonts w:hint="eastAsia" w:ascii="仿宋_GB2312" w:eastAsia="仿宋_GB2312" w:cs="宋体"/>
          <w:sz w:val="32"/>
          <w:szCs w:val="32"/>
          <w:highlight w:val="white"/>
          <w:lang w:val="zh-CN"/>
        </w:rPr>
      </w:pPr>
      <w:r>
        <w:rPr>
          <w:rFonts w:hint="eastAsia" w:ascii="仿宋_GB2312" w:eastAsia="仿宋_GB2312" w:cs="宋体"/>
          <w:sz w:val="32"/>
          <w:szCs w:val="32"/>
          <w:highlight w:val="white"/>
          <w:lang w:val="en-US" w:eastAsia="zh-CN"/>
        </w:rPr>
        <w:t>2、</w:t>
      </w:r>
      <w:r>
        <w:rPr>
          <w:rFonts w:hint="eastAsia" w:ascii="仿宋_GB2312" w:eastAsia="仿宋_GB2312" w:cs="宋体"/>
          <w:sz w:val="32"/>
          <w:szCs w:val="32"/>
          <w:highlight w:val="white"/>
          <w:lang w:val="zh-CN"/>
        </w:rPr>
        <w:t>编制和实施全区农村公路发展规划和战备规划，编制和实施农村公路建设年度计划；</w:t>
      </w:r>
    </w:p>
    <w:p>
      <w:pPr>
        <w:widowControl/>
        <w:spacing w:line="600" w:lineRule="exact"/>
        <w:ind w:firstLine="627" w:firstLineChars="196"/>
        <w:jc w:val="left"/>
        <w:rPr>
          <w:rFonts w:hint="eastAsia" w:ascii="仿宋_GB2312" w:eastAsia="仿宋_GB2312" w:cs="宋体"/>
          <w:sz w:val="32"/>
          <w:szCs w:val="32"/>
          <w:highlight w:val="white"/>
          <w:lang w:val="zh-CN"/>
        </w:rPr>
      </w:pPr>
      <w:r>
        <w:rPr>
          <w:rFonts w:hint="eastAsia" w:ascii="仿宋_GB2312" w:eastAsia="仿宋_GB2312" w:cs="宋体"/>
          <w:sz w:val="32"/>
          <w:szCs w:val="32"/>
          <w:highlight w:val="white"/>
          <w:lang w:val="en-US" w:eastAsia="zh-CN"/>
        </w:rPr>
        <w:t>3、</w:t>
      </w:r>
      <w:r>
        <w:rPr>
          <w:rFonts w:hint="eastAsia" w:ascii="仿宋_GB2312" w:eastAsia="仿宋_GB2312" w:cs="宋体"/>
          <w:sz w:val="32"/>
          <w:szCs w:val="32"/>
          <w:highlight w:val="white"/>
          <w:lang w:val="zh-CN"/>
        </w:rPr>
        <w:t>负责组织农村公路建设项目的资金筹措、招投标和工程建设管理工作；</w:t>
      </w:r>
    </w:p>
    <w:p>
      <w:pPr>
        <w:widowControl/>
        <w:spacing w:line="600" w:lineRule="exact"/>
        <w:ind w:firstLine="627" w:firstLineChars="196"/>
        <w:jc w:val="left"/>
        <w:rPr>
          <w:rFonts w:hint="eastAsia" w:ascii="仿宋_GB2312" w:eastAsia="仿宋_GB2312" w:cs="宋体"/>
          <w:sz w:val="32"/>
          <w:szCs w:val="32"/>
          <w:highlight w:val="white"/>
          <w:lang w:val="zh-CN"/>
        </w:rPr>
      </w:pPr>
      <w:r>
        <w:rPr>
          <w:rFonts w:hint="eastAsia" w:ascii="仿宋_GB2312" w:eastAsia="仿宋_GB2312" w:cs="宋体"/>
          <w:sz w:val="32"/>
          <w:szCs w:val="32"/>
          <w:highlight w:val="white"/>
          <w:lang w:val="en-US" w:eastAsia="zh-CN"/>
        </w:rPr>
        <w:t>4、</w:t>
      </w:r>
      <w:r>
        <w:rPr>
          <w:rFonts w:hint="eastAsia" w:ascii="仿宋_GB2312" w:eastAsia="仿宋_GB2312" w:cs="宋体"/>
          <w:sz w:val="32"/>
          <w:szCs w:val="32"/>
          <w:highlight w:val="white"/>
          <w:lang w:val="zh-CN"/>
        </w:rPr>
        <w:t>农村公路养护及养护市场的监督管一、资金拨付、监管，协助区交通局监督项目建设单位严格履行交通基建程序；</w:t>
      </w:r>
    </w:p>
    <w:p>
      <w:pPr>
        <w:keepNext/>
        <w:keepLines/>
        <w:autoSpaceDE w:val="0"/>
        <w:autoSpaceDN w:val="0"/>
        <w:adjustRightInd w:val="0"/>
        <w:spacing w:line="600" w:lineRule="exact"/>
        <w:ind w:firstLine="641"/>
        <w:rPr>
          <w:rFonts w:hint="eastAsia" w:ascii="仿宋_GB2312" w:eastAsia="仿宋_GB2312" w:cs="宋体"/>
          <w:sz w:val="32"/>
          <w:szCs w:val="32"/>
          <w:highlight w:val="white"/>
          <w:lang w:val="zh-CN"/>
        </w:rPr>
      </w:pPr>
      <w:r>
        <w:rPr>
          <w:rFonts w:hint="eastAsia" w:ascii="仿宋_GB2312" w:eastAsia="仿宋_GB2312" w:cs="宋体"/>
          <w:sz w:val="32"/>
          <w:szCs w:val="32"/>
          <w:highlight w:val="white"/>
          <w:lang w:val="en-US" w:eastAsia="zh-CN"/>
        </w:rPr>
        <w:t>5、</w:t>
      </w:r>
      <w:r>
        <w:rPr>
          <w:rFonts w:hint="eastAsia" w:ascii="仿宋_GB2312" w:eastAsia="仿宋_GB2312" w:cs="宋体"/>
          <w:sz w:val="32"/>
          <w:szCs w:val="32"/>
          <w:highlight w:val="white"/>
          <w:lang w:val="zh-CN"/>
        </w:rPr>
        <w:t>负责全区农村公路调查、公路路况技术标准的评定、年度目标考核和科技、信息工作；</w:t>
      </w:r>
    </w:p>
    <w:p>
      <w:pPr>
        <w:keepNext/>
        <w:keepLines/>
        <w:autoSpaceDE w:val="0"/>
        <w:autoSpaceDN w:val="0"/>
        <w:adjustRightInd w:val="0"/>
        <w:spacing w:line="600" w:lineRule="exact"/>
        <w:ind w:firstLine="641"/>
        <w:rPr>
          <w:rFonts w:hint="eastAsia" w:ascii="仿宋_GB2312" w:eastAsia="仿宋_GB2312" w:cs="宋体"/>
          <w:sz w:val="32"/>
          <w:szCs w:val="32"/>
          <w:highlight w:val="white"/>
        </w:rPr>
      </w:pPr>
      <w:r>
        <w:rPr>
          <w:rFonts w:hint="eastAsia" w:ascii="仿宋_GB2312" w:eastAsia="仿宋_GB2312" w:cs="宋体"/>
          <w:sz w:val="32"/>
          <w:szCs w:val="32"/>
          <w:highlight w:val="white"/>
          <w:lang w:val="en-US" w:eastAsia="zh-CN"/>
        </w:rPr>
        <w:t>6、</w:t>
      </w:r>
      <w:r>
        <w:rPr>
          <w:rFonts w:hint="eastAsia" w:ascii="仿宋_GB2312" w:eastAsia="仿宋_GB2312" w:cs="宋体"/>
          <w:sz w:val="32"/>
          <w:szCs w:val="32"/>
          <w:highlight w:val="white"/>
          <w:lang w:val="zh-CN"/>
        </w:rPr>
        <w:t>负责指导乡（镇）农村公路管理养护等工作。</w:t>
      </w:r>
    </w:p>
    <w:p>
      <w:pPr>
        <w:spacing w:line="570" w:lineRule="atLeast"/>
        <w:ind w:firstLine="643" w:firstLineChars="200"/>
        <w:rPr>
          <w:rFonts w:hint="eastAsia" w:ascii="仿宋_GB2312" w:hAnsi="仿宋_GB2312" w:eastAsia="仿宋_GB2312" w:cs="仿宋_GB2312"/>
          <w:b/>
          <w:bCs/>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（二）机构设置</w:t>
      </w:r>
    </w:p>
    <w:p>
      <w:pPr>
        <w:ind w:firstLine="640" w:firstLineChars="200"/>
        <w:rPr>
          <w:rFonts w:hint="eastAsia" w:ascii="仿宋_GB2312" w:eastAsia="仿宋_GB2312" w:cs="宋体"/>
          <w:sz w:val="32"/>
          <w:szCs w:val="32"/>
          <w:highlight w:val="white"/>
          <w:lang w:val="en-US" w:eastAsia="zh-CN"/>
        </w:rPr>
      </w:pPr>
      <w:r>
        <w:rPr>
          <w:rFonts w:hint="eastAsia" w:ascii="仿宋_GB2312" w:eastAsia="仿宋_GB2312" w:cs="宋体"/>
          <w:sz w:val="32"/>
          <w:szCs w:val="32"/>
          <w:highlight w:val="white"/>
          <w:lang w:val="zh-CN"/>
        </w:rPr>
        <w:t>岳阳市君山区农村公路养护中心单位内设机构包括：办公室、财务室、柳林洲、许市、钱粮湖三个农村公路管理站、钱粮湖、许市两个养护工班。</w:t>
      </w:r>
      <w:r>
        <w:rPr>
          <w:rFonts w:hint="eastAsia" w:ascii="仿宋_GB2312" w:eastAsia="仿宋_GB2312" w:cs="宋体"/>
          <w:sz w:val="32"/>
          <w:szCs w:val="32"/>
          <w:highlight w:val="white"/>
          <w:lang w:val="en-US" w:eastAsia="zh-CN"/>
        </w:rPr>
        <w:t>领导职数主任1名，副主任4名。</w:t>
      </w:r>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二、部门预算单位构成</w:t>
      </w:r>
    </w:p>
    <w:p>
      <w:pPr>
        <w:widowControl/>
        <w:spacing w:line="600" w:lineRule="exact"/>
        <w:ind w:firstLine="627" w:firstLineChars="196"/>
        <w:rPr>
          <w:rFonts w:hint="eastAsia" w:eastAsia="仿宋_GB2312"/>
          <w:sz w:val="32"/>
          <w:szCs w:val="32"/>
          <w:lang w:val="en-US" w:eastAsia="zh-CN"/>
        </w:rPr>
      </w:pPr>
      <w:r>
        <w:rPr>
          <w:rFonts w:hint="eastAsia" w:eastAsia="仿宋_GB2312"/>
          <w:sz w:val="32"/>
          <w:szCs w:val="32"/>
          <w:lang w:val="en-US" w:eastAsia="zh-CN"/>
        </w:rPr>
        <w:t>君山区农村公路养护中心部门只有本级</w:t>
      </w:r>
      <w:r>
        <w:rPr>
          <w:rFonts w:eastAsia="仿宋_GB2312"/>
          <w:sz w:val="32"/>
          <w:szCs w:val="32"/>
        </w:rPr>
        <w:t>，</w:t>
      </w:r>
      <w:r>
        <w:rPr>
          <w:rFonts w:hint="eastAsia" w:eastAsia="仿宋_GB2312"/>
          <w:sz w:val="32"/>
          <w:szCs w:val="32"/>
          <w:lang w:val="en-US" w:eastAsia="zh-CN"/>
        </w:rPr>
        <w:t>没有其他预算单位，因此本部门预算仅含本级预算。</w:t>
      </w:r>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本单位2024年没有政府性基金预算拨款、国有资本经营预算收入和纳入专户管理的非税收入拨款收入，也没有使用政府性基金预算拨款、国有资本经营预算收入和纳入专户管理的非税收入拨款安排的支出，所以部门预算公开表1</w:t>
      </w:r>
      <w:r>
        <w:rPr>
          <w:rFonts w:hint="eastAsia" w:ascii="仿宋_GB2312" w:hAnsi="仿宋_GB2312" w:eastAsia="仿宋_GB2312" w:cs="仿宋_GB2312"/>
          <w:color w:val="000000"/>
          <w:sz w:val="32"/>
          <w:szCs w:val="32"/>
          <w:shd w:val="clear" w:color="auto" w:fill="FFFFFF"/>
          <w:lang w:val="en-US" w:eastAsia="zh-CN"/>
        </w:rPr>
        <w:t>5、16、17、18、19表均为空。</w:t>
      </w:r>
    </w:p>
    <w:p>
      <w:pPr>
        <w:numPr>
          <w:ilvl w:val="0"/>
          <w:numId w:val="1"/>
        </w:num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收入预算：</w:t>
      </w:r>
      <w:r>
        <w:rPr>
          <w:rFonts w:hint="eastAsia" w:ascii="仿宋_GB2312" w:hAnsi="仿宋_GB2312" w:eastAsia="仿宋_GB2312" w:cs="仿宋_GB2312"/>
          <w:color w:val="000000"/>
          <w:sz w:val="32"/>
          <w:szCs w:val="32"/>
          <w:shd w:val="clear" w:color="auto" w:fill="FFFFFF"/>
          <w:lang w:val="en-US" w:eastAsia="zh-CN"/>
        </w:rPr>
        <w:t>包括一般公共预算、政府性基金、国有资本经营预算等财政拨款收入，以及经营收入、事业收入等单位资金。2024年本单位收入预算549.75万元，其中，一般公共预算拨款549.75万元，政府性基金预算资金0.00万元(所以</w:t>
      </w:r>
      <w:r>
        <w:rPr>
          <w:rFonts w:hint="eastAsia" w:ascii="仿宋_GB2312" w:hAnsi="仿宋_GB2312" w:eastAsia="仿宋_GB2312" w:cs="仿宋_GB2312"/>
          <w:color w:val="000000"/>
          <w:sz w:val="32"/>
          <w:szCs w:val="32"/>
          <w:highlight w:val="none"/>
          <w:shd w:val="clear" w:color="auto" w:fill="FFFFFF"/>
          <w:lang w:val="en-US" w:eastAsia="zh-CN"/>
        </w:rPr>
        <w:t>部门预算公开表15-17表为空)，国有资本经营预算资金0.00万元(所以部门预算公开表18表为空)，财政专户管理资金0.00万元(所以部门预算公开表19表为</w:t>
      </w:r>
      <w:r>
        <w:rPr>
          <w:rFonts w:hint="eastAsia" w:ascii="仿宋_GB2312" w:hAnsi="仿宋_GB2312" w:eastAsia="仿宋_GB2312" w:cs="仿宋_GB2312"/>
          <w:color w:val="000000"/>
          <w:sz w:val="32"/>
          <w:szCs w:val="32"/>
          <w:shd w:val="clear" w:color="auto" w:fill="FFFFFF"/>
          <w:lang w:val="en-US" w:eastAsia="zh-CN"/>
        </w:rPr>
        <w:t>空)，上级补助收入资金0.00万元，事业单位经营收入资金0.00万元，上年结转结余0.00万元。收入较上年减少33.02万元，下降5.7%。主要原因是有退休人员死亡，从而导致基对个人和家庭的补助减少。</w:t>
      </w:r>
    </w:p>
    <w:p>
      <w:pPr>
        <w:pStyle w:val="2"/>
        <w:numPr>
          <w:ilvl w:val="0"/>
          <w:numId w:val="0"/>
        </w:numPr>
        <w:rPr>
          <w:rFonts w:hint="eastAsia"/>
          <w:lang w:val="en-US" w:eastAsia="zh-CN"/>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2"/>
        <w:numPr>
          <w:ilvl w:val="0"/>
          <w:numId w:val="0"/>
        </w:numPr>
        <w:rPr>
          <w:rFonts w:hint="eastAsia"/>
          <w:lang w:val="en-US" w:eastAsia="zh-CN"/>
        </w:rPr>
      </w:pPr>
    </w:p>
    <w:p>
      <w:pPr>
        <w:numPr>
          <w:ilvl w:val="0"/>
          <w:numId w:val="1"/>
        </w:numPr>
        <w:spacing w:line="570" w:lineRule="atLeast"/>
        <w:ind w:left="0" w:leftChars="0"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支出预算：</w:t>
      </w:r>
      <w:r>
        <w:rPr>
          <w:rFonts w:hint="eastAsia" w:ascii="仿宋_GB2312" w:hAnsi="仿宋_GB2312" w:eastAsia="仿宋_GB2312" w:cs="仿宋_GB2312"/>
          <w:color w:val="000000"/>
          <w:sz w:val="32"/>
          <w:szCs w:val="32"/>
          <w:shd w:val="clear" w:color="auto" w:fill="FFFFFF"/>
          <w:lang w:val="en-US" w:eastAsia="zh-CN"/>
        </w:rPr>
        <w:t>2024年本单位支出预算549.75万元，其中：社会保障和就业支出87.07万元，交通运输支出423.61万元，卫生健康支出15.41万元，住房保障支出23.66万元。支出较上年减少33.02万元，下降5.7%。主要原因是有退休人员死亡，从而导致对个人和家庭的补助预算支出减少。</w:t>
      </w:r>
    </w:p>
    <w:p>
      <w:pPr>
        <w:pStyle w:val="2"/>
        <w:numPr>
          <w:ilvl w:val="0"/>
          <w:numId w:val="0"/>
        </w:numPr>
        <w:rPr>
          <w:rFonts w:hint="eastAsia"/>
          <w:lang w:val="en-US" w:eastAsia="zh-CN"/>
        </w:rPr>
      </w:pPr>
      <w:r>
        <w:rPr>
          <w:rFonts w:hint="eastAsia"/>
          <w:lang w:val="en-US" w:eastAsia="zh-CN"/>
        </w:rPr>
        <w:t xml:space="preserve">       </w:t>
      </w:r>
      <w:r>
        <w:drawing>
          <wp:inline distT="0" distB="0" distL="114300" distR="114300">
            <wp:extent cx="4645025" cy="2266950"/>
            <wp:effectExtent l="4445" t="4445" r="17780" b="14605"/>
            <wp:docPr id="1"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643" w:firstLineChars="200"/>
        <w:rPr>
          <w:rFonts w:hint="eastAsia" w:ascii="Times New Roman" w:hAnsi="Times New Roman" w:eastAsia="黑体" w:cs="Times New Roman"/>
          <w:b/>
          <w:bCs/>
          <w:kern w:val="0"/>
          <w:sz w:val="32"/>
          <w:szCs w:val="32"/>
          <w:lang w:val="en-US" w:eastAsia="zh-CN"/>
        </w:rPr>
      </w:pPr>
      <w:r>
        <w:rPr>
          <w:rFonts w:hint="eastAsia" w:ascii="Times New Roman" w:hAnsi="Times New Roman" w:eastAsia="黑体" w:cs="Times New Roman"/>
          <w:b/>
          <w:bCs/>
          <w:kern w:val="0"/>
          <w:sz w:val="32"/>
          <w:szCs w:val="32"/>
          <w:lang w:val="en-US" w:eastAsia="zh-CN"/>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2024年本单位一般公共预算拨款支出549.75万元，其中：社会保障和就业支出87.07万元，占15.84%。</w:t>
      </w:r>
      <w:r>
        <w:rPr>
          <w:rFonts w:hint="eastAsia" w:ascii="仿宋_GB2312" w:hAnsi="仿宋_GB2312" w:eastAsia="仿宋_GB2312" w:cs="仿宋_GB2312"/>
          <w:color w:val="000000"/>
          <w:kern w:val="2"/>
          <w:sz w:val="32"/>
          <w:szCs w:val="32"/>
          <w:shd w:val="clear" w:color="auto" w:fill="FFFFFF"/>
          <w:lang w:val="en-US" w:eastAsia="zh-CN" w:bidi="ar-SA"/>
        </w:rPr>
        <w:t>卫生健康支出15.41万元，占2.8%；交通运输支出423.61万元，占77.06%</w:t>
      </w:r>
      <w:r>
        <w:rPr>
          <w:rFonts w:hint="eastAsia" w:ascii="仿宋_GB2312" w:hAnsi="仿宋_GB2312" w:eastAsia="仿宋_GB2312" w:cs="仿宋_GB2312"/>
          <w:color w:val="000000"/>
          <w:kern w:val="2"/>
          <w:sz w:val="36"/>
          <w:szCs w:val="36"/>
          <w:shd w:val="clear" w:color="auto" w:fill="FFFFFF"/>
          <w:lang w:val="en-US" w:eastAsia="zh-CN" w:bidi="ar-SA"/>
        </w:rPr>
        <w:t>；</w:t>
      </w:r>
      <w:r>
        <w:rPr>
          <w:rFonts w:hint="eastAsia" w:ascii="仿宋_GB2312" w:hAnsi="仿宋_GB2312" w:eastAsia="仿宋_GB2312" w:cs="仿宋_GB2312"/>
          <w:color w:val="000000"/>
          <w:kern w:val="2"/>
          <w:sz w:val="32"/>
          <w:szCs w:val="32"/>
          <w:shd w:val="clear" w:color="auto" w:fill="FFFFFF"/>
          <w:lang w:val="en-US" w:eastAsia="zh-CN" w:bidi="ar-SA"/>
        </w:rPr>
        <w:t>住房保障支出23.66万元，占4.3%。</w:t>
      </w:r>
      <w:r>
        <w:rPr>
          <w:rFonts w:hint="eastAsia" w:ascii="仿宋_GB2312" w:hAnsi="仿宋_GB2312" w:eastAsia="仿宋_GB2312" w:cs="仿宋_GB2312"/>
          <w:color w:val="000000"/>
          <w:sz w:val="32"/>
          <w:szCs w:val="32"/>
          <w:shd w:val="clear" w:color="auto" w:fill="FFFFFF"/>
          <w:lang w:val="en-US" w:eastAsia="zh-CN"/>
        </w:rPr>
        <w:t>具体安排情况如下：</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（一）基本支出：</w:t>
      </w:r>
      <w:r>
        <w:rPr>
          <w:rFonts w:hint="eastAsia" w:ascii="仿宋_GB2312" w:hAnsi="仿宋_GB2312" w:eastAsia="仿宋_GB2312" w:cs="仿宋_GB2312"/>
          <w:color w:val="000000"/>
          <w:sz w:val="32"/>
          <w:szCs w:val="32"/>
          <w:shd w:val="clear" w:color="auto" w:fill="FFFFFF"/>
          <w:lang w:val="en-US" w:eastAsia="zh-CN"/>
        </w:rPr>
        <w:t>2024年本单位基本支出预算数349.75万元，主要是为保障单位正常运转、完成日常工作任务而发生的各项支出，包括用于基本工资、津贴补贴等人员经费以及办公费、印刷费、水电费、办公设备购置等公用经费。</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（二）项目支出：</w:t>
      </w:r>
      <w:r>
        <w:rPr>
          <w:rFonts w:hint="eastAsia" w:ascii="仿宋_GB2312" w:hAnsi="仿宋_GB2312" w:eastAsia="仿宋_GB2312" w:cs="仿宋_GB2312"/>
          <w:color w:val="000000"/>
          <w:sz w:val="32"/>
          <w:szCs w:val="32"/>
          <w:shd w:val="clear" w:color="auto" w:fill="FFFFFF"/>
          <w:lang w:val="en-US" w:eastAsia="zh-CN"/>
        </w:rPr>
        <w:t>2024年本单位项目支出预算200万元，主要是本单位为完成特定工作任务或事业发展目标而发生的支出，包括有关事业发展专项、专项业务费、基本建设支出等，其中：</w:t>
      </w:r>
      <w:r>
        <w:rPr>
          <w:rFonts w:hint="eastAsia" w:ascii="Times New Roman" w:hAnsi="Times New Roman" w:eastAsia="仿宋_GB2312" w:cs="Times New Roman"/>
          <w:sz w:val="32"/>
          <w:szCs w:val="32"/>
        </w:rPr>
        <w:t>交通运输支出</w:t>
      </w:r>
      <w:r>
        <w:rPr>
          <w:rFonts w:hint="eastAsia" w:ascii="Times New Roman" w:hAnsi="Times New Roman" w:eastAsia="仿宋_GB2312" w:cs="Times New Roman"/>
          <w:sz w:val="32"/>
          <w:szCs w:val="32"/>
          <w:lang w:val="en-US" w:eastAsia="zh-CN"/>
        </w:rPr>
        <w:t>200万元，主要内容为全年发放养护人员和工班人员支出及农村公路日常养护工作经费，确保全区农村公路道路畅通，人民群众安全出行，人员稳定</w:t>
      </w:r>
      <w:r>
        <w:rPr>
          <w:rFonts w:hint="eastAsia" w:eastAsia="仿宋_GB2312"/>
          <w:sz w:val="32"/>
          <w:szCs w:val="32"/>
          <w:lang w:eastAsia="zh-CN"/>
        </w:rPr>
        <w:t>。</w:t>
      </w: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lang w:val="en-US" w:eastAsia="zh-CN"/>
        </w:rPr>
        <w:t>五、政府性基金预算支出</w:t>
      </w:r>
    </w:p>
    <w:p>
      <w:pPr>
        <w:ind w:firstLine="640" w:firstLineChars="200"/>
        <w:rPr>
          <w:rFonts w:hint="eastAsia" w:asciiTheme="minorEastAsia" w:hAnsiTheme="minorEastAsia" w:eastAsiaTheme="minorEastAsia" w:cstheme="minorEastAsia"/>
          <w:i w:val="0"/>
          <w:iCs w:val="0"/>
          <w:caps w:val="0"/>
          <w:color w:val="333333"/>
          <w:spacing w:val="0"/>
          <w:sz w:val="28"/>
          <w:szCs w:val="28"/>
          <w:shd w:val="clear" w:fill="FFFFFF"/>
        </w:rPr>
      </w:pPr>
      <w:r>
        <w:rPr>
          <w:rFonts w:hint="eastAsia" w:ascii="仿宋_GB2312" w:hAnsi="仿宋_GB2312" w:eastAsia="仿宋_GB2312" w:cs="仿宋_GB2312"/>
          <w:color w:val="000000"/>
          <w:sz w:val="32"/>
          <w:szCs w:val="32"/>
          <w:shd w:val="clear" w:color="auto" w:fill="FFFFFF"/>
          <w:lang w:val="en-US" w:eastAsia="zh-CN"/>
        </w:rPr>
        <w:t>2024年度本单位无政府性基金安排的支出，所以公开的附件15-17（政府性基金预算）为空。</w:t>
      </w: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lang w:val="en-US" w:eastAsia="zh-CN"/>
        </w:rPr>
        <w:t>六、其他重要事项的情况说明</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（一）机关运行经费：</w:t>
      </w:r>
      <w:r>
        <w:rPr>
          <w:rFonts w:hint="eastAsia" w:ascii="仿宋_GB2312" w:hAnsi="仿宋_GB2312" w:eastAsia="仿宋_GB2312" w:cs="仿宋_GB2312"/>
          <w:color w:val="000000"/>
          <w:sz w:val="32"/>
          <w:szCs w:val="32"/>
          <w:shd w:val="clear" w:color="auto" w:fill="FFFFFF"/>
          <w:lang w:val="en-US" w:eastAsia="zh-CN"/>
        </w:rPr>
        <w:t>2024年君山区农村公路养护中心机关运行经费26.4万元，比上年预算下降1.95%。主要原因</w:t>
      </w:r>
      <w:r>
        <w:rPr>
          <w:rFonts w:hint="eastAsia" w:ascii="仿宋_GB2312" w:hAnsi="仿宋_GB2312" w:eastAsia="仿宋_GB2312" w:cs="仿宋_GB2312"/>
          <w:color w:val="000000"/>
          <w:sz w:val="32"/>
          <w:szCs w:val="32"/>
          <w:highlight w:val="none"/>
          <w:shd w:val="clear" w:color="auto" w:fill="FFFFFF"/>
          <w:lang w:val="en-US" w:eastAsia="zh-CN"/>
        </w:rPr>
        <w:t>是厉行节约，压缩了公用经费预算，造</w:t>
      </w:r>
      <w:r>
        <w:rPr>
          <w:rFonts w:hint="eastAsia" w:ascii="仿宋_GB2312" w:hAnsi="仿宋_GB2312" w:eastAsia="仿宋_GB2312" w:cs="仿宋_GB2312"/>
          <w:color w:val="000000"/>
          <w:sz w:val="32"/>
          <w:szCs w:val="32"/>
          <w:shd w:val="clear" w:color="auto" w:fill="FFFFFF"/>
          <w:lang w:val="en-US" w:eastAsia="zh-CN"/>
        </w:rPr>
        <w:t>成公用经费预算减少。</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（二）“三公”经费预算：</w:t>
      </w:r>
      <w:r>
        <w:rPr>
          <w:rFonts w:hint="eastAsia" w:ascii="仿宋_GB2312" w:hAnsi="仿宋_GB2312" w:eastAsia="仿宋_GB2312" w:cs="仿宋_GB2312"/>
          <w:color w:val="000000"/>
          <w:sz w:val="32"/>
          <w:szCs w:val="32"/>
          <w:shd w:val="clear" w:color="auto" w:fill="FFFFFF"/>
          <w:lang w:val="en-US" w:eastAsia="zh-CN"/>
        </w:rPr>
        <w:t>2024年本单位“三公”经费预算数为0万元，其中，公务接待费0万元，公务用车购置及运行费0万元（其中，公务用车购置费0万元，公务用车运行费0万元），因公出国（境）费0万元。2024年“三公”经费预算较2023年减少0.5万元，主要原因是主要是严格落实中央“八项规定”精神和“过紧日子”的要求，从严控制“三公”经费支出。</w:t>
      </w:r>
      <w:bookmarkStart w:id="0" w:name="END_IS_ZERO_06_2"/>
      <w:bookmarkEnd w:id="0"/>
      <w:bookmarkStart w:id="1" w:name="END_IS_ZERO_06_1"/>
      <w:bookmarkEnd w:id="1"/>
      <w:bookmarkStart w:id="2" w:name="START_IS_ZERO_06_2"/>
      <w:bookmarkEnd w:id="2"/>
      <w:bookmarkStart w:id="3" w:name="DIS_MARK_IS_ZERO_06_2"/>
      <w:bookmarkEnd w:id="3"/>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（三）一般性支出情况：</w:t>
      </w:r>
      <w:r>
        <w:rPr>
          <w:rFonts w:hint="eastAsia" w:ascii="仿宋_GB2312" w:hAnsi="仿宋_GB2312" w:eastAsia="仿宋_GB2312" w:cs="仿宋_GB2312"/>
          <w:color w:val="000000"/>
          <w:sz w:val="32"/>
          <w:szCs w:val="32"/>
          <w:shd w:val="clear" w:color="auto" w:fill="FFFFFF"/>
          <w:lang w:val="en-US" w:eastAsia="zh-CN"/>
        </w:rPr>
        <w:t>2024年本单位会议费预算0万元，拟召开0次会议，人数0人；培训费预算0万元，拟开展0次培训，人数0人；</w:t>
      </w:r>
      <w:r>
        <w:rPr>
          <w:rFonts w:hint="eastAsia" w:ascii="仿宋_GB2312" w:hAnsi="仿宋_GB2312" w:eastAsia="仿宋_GB2312" w:cs="仿宋_GB2312"/>
          <w:color w:val="000000"/>
          <w:kern w:val="2"/>
          <w:sz w:val="32"/>
          <w:szCs w:val="32"/>
          <w:shd w:val="clear" w:color="auto" w:fill="FFFFFF"/>
          <w:lang w:val="en-US" w:eastAsia="zh-CN" w:bidi="ar-SA"/>
        </w:rPr>
        <w:t>2024年度本</w:t>
      </w:r>
      <w:r>
        <w:rPr>
          <w:rFonts w:hint="eastAsia" w:ascii="仿宋_GB2312" w:hAnsi="仿宋_GB2312" w:eastAsia="仿宋_GB2312" w:cs="仿宋_GB2312"/>
          <w:color w:val="000000"/>
          <w:kern w:val="2"/>
          <w:sz w:val="36"/>
          <w:szCs w:val="36"/>
          <w:shd w:val="clear" w:color="auto" w:fill="FFFFFF"/>
          <w:lang w:val="en-US" w:eastAsia="zh-CN" w:bidi="ar-SA"/>
        </w:rPr>
        <w:t>部门</w:t>
      </w:r>
      <w:r>
        <w:rPr>
          <w:rFonts w:hint="eastAsia" w:ascii="仿宋_GB2312" w:hAnsi="仿宋_GB2312" w:eastAsia="仿宋_GB2312" w:cs="仿宋_GB2312"/>
          <w:color w:val="000000"/>
          <w:kern w:val="2"/>
          <w:sz w:val="32"/>
          <w:szCs w:val="32"/>
          <w:shd w:val="clear" w:color="auto" w:fill="FFFFFF"/>
          <w:lang w:val="en-US" w:eastAsia="zh-CN" w:bidi="ar-SA"/>
        </w:rPr>
        <w:t>未计划举办节庆、晚会、论坛、赛事活动。</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（四）政府采购情况：</w:t>
      </w:r>
      <w:r>
        <w:rPr>
          <w:rFonts w:hint="eastAsia" w:ascii="仿宋_GB2312" w:hAnsi="仿宋_GB2312" w:eastAsia="仿宋_GB2312" w:cs="仿宋_GB2312"/>
          <w:color w:val="000000"/>
          <w:sz w:val="32"/>
          <w:szCs w:val="32"/>
          <w:shd w:val="clear" w:color="auto" w:fill="FFFFFF"/>
          <w:lang w:val="en-US" w:eastAsia="zh-CN"/>
        </w:rPr>
        <w:t>2024年本单位政府采购预算总额27.6万元，其中，货物类采购预算5万元；工程类采购预算0万元；服务类采购预算22.6万元。</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（五）国有资产占用使用及新增资产配置情况：</w:t>
      </w:r>
      <w:r>
        <w:rPr>
          <w:rFonts w:hint="eastAsia" w:ascii="仿宋_GB2312" w:hAnsi="仿宋_GB2312" w:eastAsia="仿宋_GB2312" w:cs="仿宋_GB2312"/>
          <w:color w:val="000000"/>
          <w:sz w:val="32"/>
          <w:szCs w:val="32"/>
          <w:shd w:val="clear" w:color="auto" w:fill="FFFFFF"/>
          <w:lang w:val="en-US" w:eastAsia="zh-CN"/>
        </w:rPr>
        <w:t>截至2023年12月底，本单位共有公务用车1辆，其中，机要通信用车0辆，应急保障用车0辆，执法执勤用车1辆，特种专业技术用车0万元以上设备0台，</w:t>
      </w:r>
      <w:r>
        <w:rPr>
          <w:rFonts w:hint="eastAsia" w:ascii="仿宋_GB2312" w:hAnsi="仿宋_GB2312" w:eastAsia="仿宋_GB2312" w:cs="仿宋_GB2312"/>
          <w:color w:val="000000"/>
          <w:kern w:val="2"/>
          <w:sz w:val="32"/>
          <w:szCs w:val="32"/>
          <w:shd w:val="clear" w:color="auto" w:fill="FFFFFF"/>
          <w:lang w:val="en-US" w:eastAsia="zh-CN" w:bidi="ar-SA"/>
        </w:rPr>
        <w:t>其他按照规定配备的公务用车0辆，</w:t>
      </w:r>
      <w:r>
        <w:rPr>
          <w:rFonts w:hint="eastAsia" w:ascii="仿宋_GB2312" w:hAnsi="仿宋_GB2312" w:eastAsia="仿宋_GB2312" w:cs="仿宋_GB2312"/>
          <w:color w:val="000000"/>
          <w:sz w:val="32"/>
          <w:szCs w:val="32"/>
          <w:shd w:val="clear" w:color="auto" w:fill="FFFFFF"/>
          <w:lang w:val="en-US" w:eastAsia="zh-CN"/>
        </w:rPr>
        <w:t>其中，单位价值100万元以上设备0台。</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2024年拟新增配置公务用车0辆，其中，机要通信用车0辆，应急保障用车0辆，执法执勤</w:t>
      </w:r>
      <w:r>
        <w:rPr>
          <w:rFonts w:hint="eastAsia" w:ascii="仿宋_GB2312" w:hAnsi="仿宋_GB2312" w:eastAsia="仿宋_GB2312" w:cs="仿宋_GB2312"/>
          <w:color w:val="000000"/>
          <w:sz w:val="32"/>
          <w:szCs w:val="32"/>
          <w:highlight w:val="none"/>
          <w:shd w:val="clear" w:color="auto" w:fill="FFFFFF"/>
          <w:lang w:val="en-US" w:eastAsia="zh-CN"/>
        </w:rPr>
        <w:t>用车0辆，特种专业技术用车0辆，其他按照规定配备的公务用车0辆；新增配备单位价值50万元以上设备0台，其中，单位价值100万元以上设备0台。</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（六）预算绩效目标说明：</w:t>
      </w:r>
      <w:r>
        <w:rPr>
          <w:rFonts w:hint="eastAsia" w:ascii="仿宋_GB2312" w:hAnsi="仿宋_GB2312" w:eastAsia="仿宋_GB2312" w:cs="仿宋_GB2312"/>
          <w:color w:val="000000"/>
          <w:sz w:val="32"/>
          <w:szCs w:val="32"/>
          <w:highlight w:val="none"/>
          <w:shd w:val="clear" w:color="auto" w:fill="FFFFFF"/>
          <w:lang w:val="en-US" w:eastAsia="zh-CN"/>
        </w:rPr>
        <w:t>本单位所有支出实行绩效目标管理。纳入2024年单位整体支出绩效目标的金额为549.75万元，其中，基本支出349.75万元，项目支出200万元，具体绩效目标详见文尾附表中部门预算公开表21-22表。</w:t>
      </w:r>
    </w:p>
    <w:p>
      <w:pPr>
        <w:ind w:firstLine="643" w:firstLineChars="200"/>
        <w:rPr>
          <w:rFonts w:hint="eastAsia" w:ascii="Times New Roman" w:hAnsi="Times New Roman" w:eastAsia="黑体" w:cs="Times New Roman"/>
          <w:b/>
          <w:bCs/>
          <w:kern w:val="0"/>
          <w:sz w:val="32"/>
          <w:szCs w:val="32"/>
          <w:lang w:val="en-US" w:eastAsia="zh-CN"/>
        </w:rPr>
      </w:pPr>
      <w:r>
        <w:rPr>
          <w:rFonts w:hint="eastAsia" w:ascii="Times New Roman" w:hAnsi="Times New Roman" w:eastAsia="黑体" w:cs="Times New Roman"/>
          <w:b/>
          <w:bCs/>
          <w:kern w:val="0"/>
          <w:sz w:val="32"/>
          <w:szCs w:val="32"/>
          <w:lang w:val="en-US" w:eastAsia="zh-CN"/>
        </w:rPr>
        <w:t>七、名词解释</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1．机关运行经费：</w:t>
      </w:r>
      <w:r>
        <w:rPr>
          <w:rFonts w:hint="eastAsia" w:ascii="仿宋_GB2312" w:hAnsi="仿宋_GB2312" w:eastAsia="仿宋_GB2312" w:cs="仿宋_GB2312"/>
          <w:color w:val="000000"/>
          <w:sz w:val="32"/>
          <w:szCs w:val="32"/>
          <w:shd w:val="clear" w:color="auto" w:fill="FFFFFF"/>
          <w:lang w:val="en-US" w:eastAsia="zh-CN"/>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2．“三公”经费：</w:t>
      </w:r>
      <w:r>
        <w:rPr>
          <w:rFonts w:hint="eastAsia" w:ascii="仿宋_GB2312" w:hAnsi="仿宋_GB2312" w:eastAsia="仿宋_GB2312" w:cs="仿宋_GB2312"/>
          <w:color w:val="000000"/>
          <w:sz w:val="32"/>
          <w:szCs w:val="32"/>
          <w:shd w:val="clear" w:color="auto" w:fill="FFFFFF"/>
          <w:lang w:val="en-US" w:eastAsia="zh-CN"/>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bookmarkStart w:id="4" w:name="_GoBack"/>
      <w:bookmarkEnd w:id="4"/>
      <w:r>
        <w:rPr>
          <w:rFonts w:hint="eastAsia" w:ascii="方正小标宋简体" w:hAnsi="Times New Roman" w:eastAsia="方正小标宋简体" w:cs="Times New Roman"/>
          <w:b/>
          <w:bCs/>
          <w:kern w:val="0"/>
          <w:sz w:val="36"/>
          <w:szCs w:val="36"/>
          <w:lang w:val="en-US" w:eastAsia="zh-CN" w:bidi="ar-SA"/>
        </w:rPr>
        <w:t>第二部分  2024年部门预算公开表格</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1、收支总表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2、收入总表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3、支出总表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4、支出预算分类汇总表（按政府预算经济分类）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5、支出预算分类汇总表（按部门预算经济分类）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6、财政拨款收支总表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7、一般公共预算支出表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8、一般公共预算基本支出表-人员经费（工资福利支出）（按政府预算经济分类）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9、一般公共预算基本支出表-人员经费（工资福利支出）（按部门预算经济分类）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10、一般公共预算基本支出表-人员经费（对个人和家庭的补助）（按政府预算经济分类）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11、一般公共预算基本支出表-人员经费（对个人和家庭的补助）（按部门预算经济分类）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12、一般公共预算基本支出表-公用经费（商品和服务支出）（按政府预算经济分类）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13、一般公共预算基本支出表-公用经费（商品和服务支出）（按部门预算经济分类）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14、一般公共预算“三公”经费支出表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15、政府性基金预算支出表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16、政府性基金预算支出分类汇总表（按政府预算经济分类）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17、政府性基金预算支出分类汇总表（按部门预算经济分类）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18、国有资本经营预算支出表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19、财政专户管理资金预算支出表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20、专项资金预算汇总表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21、项目支出绩效目标表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22、部门整体支出绩效目标表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23、一般公共预算基本支出表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注：以上部门预算公开报表中，空表表示本单位无相关收支情况。</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附件：岳阳市君山区农村公路养护中心2024年部门预算公开表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CC3CBB"/>
    <w:multiLevelType w:val="singleLevel"/>
    <w:tmpl w:val="57CC3CB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MzkxYTllNGUzYWMwZmMyNjFiNTViYzNiYzdlYTAifQ=="/>
  </w:docVars>
  <w:rsids>
    <w:rsidRoot w:val="637274E6"/>
    <w:rsid w:val="01EC3E90"/>
    <w:rsid w:val="02140C7A"/>
    <w:rsid w:val="042D7821"/>
    <w:rsid w:val="04322C88"/>
    <w:rsid w:val="046523F8"/>
    <w:rsid w:val="088363E7"/>
    <w:rsid w:val="0AD8381E"/>
    <w:rsid w:val="0B172D74"/>
    <w:rsid w:val="0B5218A1"/>
    <w:rsid w:val="0B653E82"/>
    <w:rsid w:val="0E042561"/>
    <w:rsid w:val="0F2A3A2C"/>
    <w:rsid w:val="10797237"/>
    <w:rsid w:val="16042156"/>
    <w:rsid w:val="16247C45"/>
    <w:rsid w:val="167C1082"/>
    <w:rsid w:val="17344377"/>
    <w:rsid w:val="192632E6"/>
    <w:rsid w:val="1B6F1962"/>
    <w:rsid w:val="1C5577EF"/>
    <w:rsid w:val="1C744CBF"/>
    <w:rsid w:val="1C914169"/>
    <w:rsid w:val="1F572E39"/>
    <w:rsid w:val="1F8154A2"/>
    <w:rsid w:val="20034AD4"/>
    <w:rsid w:val="222803D9"/>
    <w:rsid w:val="22767EB0"/>
    <w:rsid w:val="22861ED8"/>
    <w:rsid w:val="247244CC"/>
    <w:rsid w:val="25A12EC5"/>
    <w:rsid w:val="27562CA6"/>
    <w:rsid w:val="286F1B1C"/>
    <w:rsid w:val="28D728F5"/>
    <w:rsid w:val="2A5727A7"/>
    <w:rsid w:val="2B3247EE"/>
    <w:rsid w:val="2B366FCB"/>
    <w:rsid w:val="2B7C67AE"/>
    <w:rsid w:val="2C82701B"/>
    <w:rsid w:val="2DC518B5"/>
    <w:rsid w:val="2E9372BE"/>
    <w:rsid w:val="30F54535"/>
    <w:rsid w:val="32691BD8"/>
    <w:rsid w:val="328F1D91"/>
    <w:rsid w:val="36214EDF"/>
    <w:rsid w:val="367563BA"/>
    <w:rsid w:val="395E7E49"/>
    <w:rsid w:val="398C704B"/>
    <w:rsid w:val="3A486D41"/>
    <w:rsid w:val="3C154BB9"/>
    <w:rsid w:val="3CB10683"/>
    <w:rsid w:val="3E4B1963"/>
    <w:rsid w:val="40731651"/>
    <w:rsid w:val="40BA4B7E"/>
    <w:rsid w:val="42E3660E"/>
    <w:rsid w:val="43D102DF"/>
    <w:rsid w:val="450D0D9B"/>
    <w:rsid w:val="4601059C"/>
    <w:rsid w:val="4602087F"/>
    <w:rsid w:val="46DF1C1B"/>
    <w:rsid w:val="4748485A"/>
    <w:rsid w:val="487F0B87"/>
    <w:rsid w:val="49637187"/>
    <w:rsid w:val="4AFC64BF"/>
    <w:rsid w:val="4BBE358A"/>
    <w:rsid w:val="4E514D65"/>
    <w:rsid w:val="4EE728E7"/>
    <w:rsid w:val="4F0307B2"/>
    <w:rsid w:val="4F302902"/>
    <w:rsid w:val="52077AEA"/>
    <w:rsid w:val="55E76771"/>
    <w:rsid w:val="578B3D48"/>
    <w:rsid w:val="58AA6296"/>
    <w:rsid w:val="58AF2EC0"/>
    <w:rsid w:val="59B2243E"/>
    <w:rsid w:val="5A13112F"/>
    <w:rsid w:val="5BC30933"/>
    <w:rsid w:val="5DC12353"/>
    <w:rsid w:val="5E432A43"/>
    <w:rsid w:val="60B42209"/>
    <w:rsid w:val="637274E6"/>
    <w:rsid w:val="63E65795"/>
    <w:rsid w:val="65B57FA7"/>
    <w:rsid w:val="675A13CF"/>
    <w:rsid w:val="682C3048"/>
    <w:rsid w:val="6B1B73BC"/>
    <w:rsid w:val="6F4B168B"/>
    <w:rsid w:val="70F118E0"/>
    <w:rsid w:val="71704C61"/>
    <w:rsid w:val="719F6C19"/>
    <w:rsid w:val="72D51220"/>
    <w:rsid w:val="738D133B"/>
    <w:rsid w:val="78CC0C1A"/>
    <w:rsid w:val="7AE949AB"/>
    <w:rsid w:val="7B1733D9"/>
    <w:rsid w:val="7C7E26F8"/>
    <w:rsid w:val="7D266D66"/>
    <w:rsid w:val="7E7E59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G:\2024&#24180;&#37096;&#38376;&#39044;&#31639;&#20844;&#24320;&#65288;&#21333;&#20301;&#21457;&#26469;&#30340;&#65289;\&#25910;&#20837;&#39044;&#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1" i="0" u="none" strike="noStrike" kern="1200" baseline="0">
                <a:solidFill>
                  <a:schemeClr val="tx1">
                    <a:lumMod val="75000"/>
                    <a:lumOff val="25000"/>
                  </a:schemeClr>
                </a:solidFill>
                <a:latin typeface="+mn-lt"/>
                <a:ea typeface="+mn-ea"/>
                <a:cs typeface="+mn-cs"/>
              </a:defRPr>
            </a:pPr>
            <a:r>
              <a:t>支出预算图</a:t>
            </a:r>
          </a:p>
        </c:rich>
      </c:tx>
      <c:layout>
        <c:manualLayout>
          <c:xMode val="edge"/>
          <c:yMode val="edge"/>
          <c:x val="0.367259056732741"/>
          <c:y val="0.00840336134453781"/>
        </c:manualLayout>
      </c:layout>
      <c:overlay val="0"/>
      <c:spPr>
        <a:noFill/>
        <a:ln>
          <a:noFill/>
        </a:ln>
        <a:effectLst/>
      </c:spPr>
    </c:title>
    <c:autoTitleDeleted val="0"/>
    <c:plotArea>
      <c:layout/>
      <c:pieChart>
        <c:varyColors val="1"/>
        <c:ser>
          <c:idx val="0"/>
          <c:order val="0"/>
          <c:spPr/>
          <c:explosion val="0"/>
          <c:dPt>
            <c:idx val="0"/>
            <c:bubble3D val="0"/>
            <c:spPr>
              <a:gradFill>
                <a:gsLst>
                  <a:gs pos="0">
                    <a:schemeClr val="accent1">
                      <a:lumMod val="40000"/>
                      <a:lumOff val="60000"/>
                    </a:schemeClr>
                  </a:gs>
                  <a:gs pos="90000">
                    <a:schemeClr val="accent1"/>
                  </a:gs>
                </a:gsLst>
                <a:lin ang="5400000" scaled="0"/>
              </a:gradFill>
              <a:ln>
                <a:gradFill>
                  <a:gsLst>
                    <a:gs pos="0">
                      <a:schemeClr val="accent1"/>
                    </a:gs>
                    <a:gs pos="100000">
                      <a:schemeClr val="accent1">
                        <a:lumMod val="75000"/>
                      </a:schemeClr>
                    </a:gs>
                  </a:gsLst>
                  <a:lin ang="5400000" scaled="1"/>
                </a:gradFill>
              </a:ln>
              <a:effectLst/>
            </c:spPr>
          </c:dPt>
          <c:dPt>
            <c:idx val="1"/>
            <c:bubble3D val="0"/>
            <c:spPr>
              <a:gradFill>
                <a:gsLst>
                  <a:gs pos="0">
                    <a:schemeClr val="accent2">
                      <a:lumMod val="40000"/>
                      <a:lumOff val="60000"/>
                    </a:schemeClr>
                  </a:gs>
                  <a:gs pos="90000">
                    <a:schemeClr val="accent2"/>
                  </a:gs>
                </a:gsLst>
                <a:lin ang="5400000" scaled="0"/>
              </a:gradFill>
              <a:ln>
                <a:gradFill>
                  <a:gsLst>
                    <a:gs pos="0">
                      <a:schemeClr val="accent2"/>
                    </a:gs>
                    <a:gs pos="100000">
                      <a:schemeClr val="accent2">
                        <a:lumMod val="75000"/>
                      </a:schemeClr>
                    </a:gs>
                  </a:gsLst>
                  <a:lin ang="5400000" scaled="1"/>
                </a:gradFill>
              </a:ln>
              <a:effectLst/>
            </c:spPr>
          </c:dPt>
          <c:dPt>
            <c:idx val="2"/>
            <c:bubble3D val="0"/>
            <c:spPr>
              <a:gradFill>
                <a:gsLst>
                  <a:gs pos="0">
                    <a:schemeClr val="accent3">
                      <a:lumMod val="40000"/>
                      <a:lumOff val="60000"/>
                    </a:schemeClr>
                  </a:gs>
                  <a:gs pos="90000">
                    <a:schemeClr val="accent3"/>
                  </a:gs>
                </a:gsLst>
                <a:lin ang="5400000" scaled="0"/>
              </a:gradFill>
              <a:ln>
                <a:gradFill>
                  <a:gsLst>
                    <a:gs pos="0">
                      <a:schemeClr val="accent3"/>
                    </a:gs>
                    <a:gs pos="100000">
                      <a:schemeClr val="accent3">
                        <a:lumMod val="75000"/>
                      </a:schemeClr>
                    </a:gs>
                  </a:gsLst>
                  <a:lin ang="5400000" scaled="1"/>
                </a:gradFill>
              </a:ln>
              <a:effectLst/>
            </c:spPr>
          </c:dPt>
          <c:dPt>
            <c:idx val="3"/>
            <c:bubble3D val="0"/>
            <c:spPr>
              <a:gradFill>
                <a:gsLst>
                  <a:gs pos="0">
                    <a:schemeClr val="accent4">
                      <a:lumMod val="40000"/>
                      <a:lumOff val="60000"/>
                    </a:schemeClr>
                  </a:gs>
                  <a:gs pos="90000">
                    <a:schemeClr val="accent4"/>
                  </a:gs>
                </a:gsLst>
                <a:lin ang="5400000" scaled="0"/>
              </a:gradFill>
              <a:ln>
                <a:gradFill>
                  <a:gsLst>
                    <a:gs pos="0">
                      <a:schemeClr val="accent4"/>
                    </a:gs>
                    <a:gs pos="100000">
                      <a:schemeClr val="accent4">
                        <a:lumMod val="75000"/>
                      </a:schemeClr>
                    </a:gs>
                  </a:gsLst>
                  <a:lin ang="5400000" scaled="1"/>
                </a:gradFill>
              </a:ln>
              <a:effectLst/>
            </c:spPr>
          </c:dPt>
          <c:dLbls>
            <c:dLbl>
              <c:idx val="0"/>
              <c:layout>
                <c:manualLayout>
                  <c:x val="0.0225783893424863"/>
                  <c:y val="0.0399738229580651"/>
                </c:manualLayout>
              </c:layout>
              <c:dLblPos val="bestFit"/>
              <c:showLegendKey val="0"/>
              <c:showVal val="0"/>
              <c:showCatName val="0"/>
              <c:showSerName val="0"/>
              <c:showPercent val="1"/>
              <c:showBubbleSize val="0"/>
              <c:extLst>
                <c:ext xmlns:c15="http://schemas.microsoft.com/office/drawing/2012/chart" uri="{CE6537A1-D6FC-4f65-9D91-7224C49458BB}">
                  <c15:layout/>
                </c:ext>
              </c:extLst>
            </c:dLbl>
            <c:dLbl>
              <c:idx val="1"/>
              <c:layout>
                <c:manualLayout>
                  <c:x val="-0.148885136413027"/>
                  <c:y val="0.177113043774895"/>
                </c:manualLayout>
              </c:layout>
              <c:dLblPos val="bestFit"/>
              <c:showLegendKey val="0"/>
              <c:showVal val="0"/>
              <c:showCatName val="0"/>
              <c:showSerName val="0"/>
              <c:showPercent val="1"/>
              <c:showBubbleSize val="0"/>
              <c:extLst>
                <c:ext xmlns:c15="http://schemas.microsoft.com/office/drawing/2012/chart" uri="{CE6537A1-D6FC-4f65-9D91-7224C49458BB}">
                  <c15:layout/>
                </c:ext>
              </c:extLst>
            </c:dLbl>
            <c:dLbl>
              <c:idx val="2"/>
              <c:layout>
                <c:manualLayout>
                  <c:x val="-0.120952493334998"/>
                  <c:y val="0.0643811020569995"/>
                </c:manualLayout>
              </c:layout>
              <c:dLblPos val="bestFit"/>
              <c:showLegendKey val="0"/>
              <c:showVal val="0"/>
              <c:showCatName val="0"/>
              <c:showSerName val="0"/>
              <c:showPercent val="1"/>
              <c:showBubbleSize val="0"/>
              <c:extLst>
                <c:ext xmlns:c15="http://schemas.microsoft.com/office/drawing/2012/chart" uri="{CE6537A1-D6FC-4f65-9D91-7224C49458BB}">
                  <c15:layout/>
                </c:ext>
              </c:extLst>
            </c:dLbl>
            <c:dLbl>
              <c:idx val="3"/>
              <c:layout>
                <c:manualLayout>
                  <c:x val="0.115613174661093"/>
                  <c:y val="-0.0157825232518091"/>
                </c:manualLayout>
              </c:layout>
              <c:dLblPos val="bestFit"/>
              <c:showLegendKey val="0"/>
              <c:showVal val="0"/>
              <c:showCatName val="0"/>
              <c:showSerName val="0"/>
              <c:showPercent val="1"/>
              <c:showBubbleSize val="0"/>
              <c:extLst>
                <c:ext xmlns:c15="http://schemas.microsoft.com/office/drawing/2012/chart" uri="{CE6537A1-D6FC-4f65-9D91-7224C49458BB}">
                  <c15:layout/>
                </c:ext>
              </c:extLst>
            </c:dLbl>
            <c:numFmt formatCode="0.00%" sourceLinked="0"/>
            <c:spPr>
              <a:solidFill>
                <a:srgbClr val="FFFF00"/>
              </a:solid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[收入预算图.xlsx]Sheet1!$B$2:$B$5</c:f>
              <c:strCache>
                <c:ptCount val="4"/>
                <c:pt idx="0">
                  <c:v>交通运输支出</c:v>
                </c:pt>
                <c:pt idx="1">
                  <c:v>社会保障和就业支出</c:v>
                </c:pt>
                <c:pt idx="2">
                  <c:v>卫生健康支出</c:v>
                </c:pt>
                <c:pt idx="3">
                  <c:v>住房保障支出</c:v>
                </c:pt>
              </c:strCache>
            </c:strRef>
          </c:cat>
          <c:val>
            <c:numRef>
              <c:f>[收入预算图.xlsx]Sheet1!$C$2:$C$5</c:f>
              <c:numCache>
                <c:formatCode>0.00%</c:formatCode>
                <c:ptCount val="4"/>
                <c:pt idx="0">
                  <c:v>0.770550250113688</c:v>
                </c:pt>
                <c:pt idx="1">
                  <c:v>0.158381082310141</c:v>
                </c:pt>
                <c:pt idx="2">
                  <c:v>0.0280309231468849</c:v>
                </c:pt>
                <c:pt idx="3">
                  <c:v>0.043037744429286</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manualLayout>
          <c:xMode val="edge"/>
          <c:yMode val="edge"/>
          <c:x val="0.105673274094327"/>
          <c:y val="0.806763285024155"/>
          <c:w val="0.768831168831169"/>
          <c:h val="0.185990338164251"/>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gradFill>
        <a:gsLst>
          <a:gs pos="0">
            <a:schemeClr val="phClr">
              <a:lumMod val="40000"/>
              <a:lumOff val="60000"/>
            </a:schemeClr>
          </a:gs>
          <a:gs pos="90000">
            <a:schemeClr val="phClr"/>
          </a:gs>
        </a:gsLst>
        <a:lin ang="5400000" scaled="0"/>
      </a:gradFill>
      <a:ln>
        <a:gradFill>
          <a:gsLst>
            <a:gs pos="0">
              <a:schemeClr val="phClr"/>
            </a:gs>
            <a:gs pos="100000">
              <a:schemeClr val="phClr">
                <a:lumMod val="75000"/>
              </a:schemeClr>
            </a:gs>
          </a:gsLst>
          <a:lin ang="5400000" scaled="1"/>
        </a:gra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lt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3480</Words>
  <Characters>3749</Characters>
  <Lines>0</Lines>
  <Paragraphs>0</Paragraphs>
  <TotalTime>17</TotalTime>
  <ScaleCrop>false</ScaleCrop>
  <LinksUpToDate>false</LinksUpToDate>
  <CharactersWithSpaces>3755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2024-06-22T12:49:08Z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4B589B6B695C4DC7952F61D9C4C27BB6_13</vt:lpwstr>
  </property>
</Properties>
</file>