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default" w:ascii="方正小标宋简体" w:hAnsi="方正小标宋简体" w:eastAsia="方正小标宋简体" w:cs="方正小标宋简体"/>
          <w:b/>
          <w:bCs/>
          <w:sz w:val="44"/>
          <w:szCs w:val="44"/>
          <w:lang w:val="en-US"/>
        </w:rPr>
      </w:pPr>
      <w:r>
        <w:rPr>
          <w:rFonts w:hint="eastAsia" w:ascii="方正小标宋简体" w:hAnsi="方正小标宋简体" w:eastAsia="方正小标宋简体" w:cs="方正小标宋简体"/>
          <w:b/>
          <w:bCs/>
          <w:sz w:val="44"/>
          <w:szCs w:val="44"/>
          <w:lang w:val="en-US" w:eastAsia="zh-CN"/>
        </w:rPr>
        <w:t>岳阳</w:t>
      </w:r>
      <w:r>
        <w:rPr>
          <w:rFonts w:hint="eastAsia" w:ascii="方正小标宋简体" w:hAnsi="方正小标宋简体" w:eastAsia="方正小标宋简体" w:cs="方正小标宋简体"/>
          <w:b/>
          <w:bCs/>
          <w:sz w:val="44"/>
          <w:szCs w:val="44"/>
        </w:rPr>
        <w:t>市</w:t>
      </w:r>
      <w:r>
        <w:rPr>
          <w:rFonts w:hint="eastAsia" w:ascii="方正小标宋简体" w:hAnsi="方正小标宋简体" w:eastAsia="方正小标宋简体" w:cs="方正小标宋简体"/>
          <w:b/>
          <w:bCs/>
          <w:sz w:val="44"/>
          <w:szCs w:val="44"/>
          <w:lang w:val="en-US" w:eastAsia="zh-CN"/>
        </w:rPr>
        <w:t>君山区交通运输综合行政执法大队</w:t>
      </w:r>
    </w:p>
    <w:p>
      <w:pPr>
        <w:spacing w:line="570" w:lineRule="atLeast"/>
        <w:jc w:val="center"/>
        <w:rPr>
          <w:rFonts w:hint="eastAsia" w:ascii="黑体" w:hAnsi="黑体" w:eastAsia="黑体" w:cs="黑体"/>
          <w:b/>
          <w:bCs/>
          <w:sz w:val="48"/>
          <w:szCs w:val="48"/>
        </w:rPr>
      </w:pPr>
      <w:r>
        <w:rPr>
          <w:rFonts w:hint="eastAsia" w:ascii="方正小标宋简体" w:hAnsi="方正小标宋简体" w:eastAsia="方正小标宋简体" w:cs="方正小标宋简体"/>
          <w:b/>
          <w:bCs/>
          <w:sz w:val="44"/>
          <w:szCs w:val="44"/>
        </w:rPr>
        <w:t>2024年部门预算公开</w:t>
      </w:r>
    </w:p>
    <w:p>
      <w:pPr>
        <w:rPr>
          <w:rFonts w:hint="eastAsia"/>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r>
        <w:rPr>
          <w:rFonts w:hint="eastAsia" w:ascii="Times New Roman" w:hAnsi="Times New Roman" w:eastAsia="黑体" w:cs="Times New Roman"/>
          <w:b/>
          <w:kern w:val="0"/>
          <w:sz w:val="36"/>
          <w:szCs w:val="36"/>
        </w:rPr>
        <w:t>目 录</w:t>
      </w:r>
    </w:p>
    <w:p>
      <w:pPr>
        <w:widowControl/>
        <w:spacing w:line="570" w:lineRule="atLeast"/>
        <w:ind w:firstLine="630" w:firstLineChars="196"/>
        <w:rPr>
          <w:rFonts w:hint="eastAsia" w:ascii="黑体" w:hAnsi="黑体" w:eastAsia="黑体" w:cs="黑体"/>
          <w:b/>
          <w:bCs/>
          <w:kern w:val="0"/>
          <w:sz w:val="32"/>
          <w:szCs w:val="32"/>
        </w:rPr>
      </w:pPr>
      <w:r>
        <w:rPr>
          <w:rFonts w:hint="eastAsia" w:ascii="黑体" w:hAnsi="黑体" w:eastAsia="黑体" w:cs="黑体"/>
          <w:b/>
          <w:bCs/>
          <w:kern w:val="0"/>
          <w:sz w:val="32"/>
          <w:szCs w:val="32"/>
        </w:rPr>
        <w:t>第一部分 2024年部门预算说明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一、部门基本概况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二、部门预算单位构成</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三、部门收支总体情况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五、政府性基金预算支出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六、其他重要事项的情况说明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七、名词解释</w:t>
      </w:r>
    </w:p>
    <w:p>
      <w:pPr>
        <w:ind w:firstLine="643" w:firstLineChars="200"/>
        <w:rPr>
          <w:rFonts w:hint="eastAsia" w:asciiTheme="minorEastAsia" w:hAnsiTheme="minorEastAsia" w:eastAsiaTheme="minorEastAsia" w:cstheme="minorEastAsia"/>
          <w:sz w:val="28"/>
          <w:szCs w:val="28"/>
        </w:rPr>
      </w:pPr>
      <w:r>
        <w:rPr>
          <w:rFonts w:hint="eastAsia" w:ascii="黑体" w:hAnsi="黑体" w:eastAsia="黑体" w:cs="黑体"/>
          <w:b/>
          <w:bCs/>
          <w:kern w:val="0"/>
          <w:sz w:val="32"/>
          <w:szCs w:val="32"/>
        </w:rPr>
        <w:t>第二部分 2024年部门预算表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15、政府性基金预算支出表</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空表</w:t>
      </w:r>
      <w:r>
        <w:rPr>
          <w:rFonts w:hint="eastAsia" w:ascii="仿宋_GB2312" w:hAnsi="仿宋_GB2312" w:eastAsia="仿宋_GB2312" w:cs="仿宋_GB2312"/>
          <w:color w:val="000000"/>
          <w:sz w:val="32"/>
          <w:szCs w:val="32"/>
          <w:shd w:val="clear" w:color="auto" w:fill="FFFFFF"/>
          <w:lang w:eastAsia="zh-CN"/>
        </w:rPr>
        <w:t>）</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空表</w:t>
      </w:r>
      <w:r>
        <w:rPr>
          <w:rFonts w:hint="eastAsia" w:ascii="仿宋_GB2312" w:hAnsi="仿宋_GB2312" w:eastAsia="仿宋_GB2312" w:cs="仿宋_GB2312"/>
          <w:color w:val="000000"/>
          <w:sz w:val="32"/>
          <w:szCs w:val="32"/>
          <w:shd w:val="clear" w:color="auto" w:fill="FFFFFF"/>
          <w:lang w:eastAsia="zh-CN"/>
        </w:rPr>
        <w:t>）</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空表</w:t>
      </w:r>
      <w:r>
        <w:rPr>
          <w:rFonts w:hint="eastAsia" w:ascii="仿宋_GB2312" w:hAnsi="仿宋_GB2312" w:eastAsia="仿宋_GB2312" w:cs="仿宋_GB2312"/>
          <w:color w:val="000000"/>
          <w:sz w:val="32"/>
          <w:szCs w:val="32"/>
          <w:shd w:val="clear" w:color="auto" w:fill="FFFFFF"/>
          <w:lang w:eastAsia="zh-CN"/>
        </w:rPr>
        <w:t>）</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18、国有资本经营预算支出表</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空表</w:t>
      </w:r>
      <w:r>
        <w:rPr>
          <w:rFonts w:hint="eastAsia" w:ascii="仿宋_GB2312" w:hAnsi="仿宋_GB2312" w:eastAsia="仿宋_GB2312" w:cs="仿宋_GB2312"/>
          <w:color w:val="000000"/>
          <w:sz w:val="32"/>
          <w:szCs w:val="32"/>
          <w:shd w:val="clear" w:color="auto" w:fill="FFFFFF"/>
          <w:lang w:eastAsia="zh-CN"/>
        </w:rPr>
        <w:t>）</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19、财政专户管理资金预算支出表</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空表</w:t>
      </w:r>
      <w:r>
        <w:rPr>
          <w:rFonts w:hint="eastAsia" w:ascii="仿宋_GB2312" w:hAnsi="仿宋_GB2312" w:eastAsia="仿宋_GB2312" w:cs="仿宋_GB2312"/>
          <w:color w:val="000000"/>
          <w:sz w:val="32"/>
          <w:szCs w:val="32"/>
          <w:shd w:val="clear" w:color="auto" w:fill="FFFFFF"/>
          <w:lang w:eastAsia="zh-CN"/>
        </w:rPr>
        <w:t>）</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w:t>
      </w:r>
      <w:r>
        <w:rPr>
          <w:rFonts w:hint="eastAsia" w:ascii="仿宋_GB2312" w:hAnsi="仿宋_GB2312" w:eastAsia="仿宋_GB2312" w:cs="仿宋_GB2312"/>
          <w:color w:val="000000"/>
          <w:sz w:val="32"/>
          <w:szCs w:val="32"/>
          <w:shd w:val="clear" w:color="auto" w:fill="FFFFFF"/>
          <w:lang w:eastAsia="zh-CN"/>
        </w:rPr>
        <w:t>本单位</w:t>
      </w:r>
      <w:r>
        <w:rPr>
          <w:rFonts w:hint="eastAsia" w:ascii="仿宋_GB2312" w:hAnsi="仿宋_GB2312" w:eastAsia="仿宋_GB2312" w:cs="仿宋_GB2312"/>
          <w:color w:val="000000"/>
          <w:sz w:val="32"/>
          <w:szCs w:val="32"/>
          <w:shd w:val="clear" w:color="auto" w:fill="FFFFFF"/>
        </w:rPr>
        <w:t>无相关收支情况。</w:t>
      </w:r>
    </w:p>
    <w:p>
      <w:pPr>
        <w:jc w:val="center"/>
        <w:rPr>
          <w:rFonts w:hint="eastAsia" w:asciiTheme="minorEastAsia" w:hAnsiTheme="minorEastAsia" w:eastAsiaTheme="minorEastAsia" w:cstheme="minorEastAsia"/>
          <w:b/>
          <w:bCs/>
          <w:sz w:val="28"/>
          <w:szCs w:val="28"/>
        </w:rPr>
      </w:pPr>
    </w:p>
    <w:p>
      <w:pPr>
        <w:jc w:val="center"/>
        <w:rPr>
          <w:rFonts w:hint="eastAsia" w:ascii="Times New Roman" w:hAnsi="Times New Roman" w:eastAsia="方正小标宋_GBK" w:cs="Times New Roman"/>
          <w:b/>
          <w:bCs/>
          <w:kern w:val="0"/>
          <w:sz w:val="36"/>
          <w:szCs w:val="36"/>
        </w:rPr>
      </w:pPr>
      <w:r>
        <w:rPr>
          <w:rFonts w:hint="eastAsia" w:ascii="Times New Roman" w:hAnsi="Times New Roman" w:eastAsia="方正小标宋_GBK" w:cs="Times New Roman"/>
          <w:b/>
          <w:bCs/>
          <w:kern w:val="0"/>
          <w:sz w:val="36"/>
          <w:szCs w:val="36"/>
        </w:rPr>
        <w:t>第一部分 部门预算公开说明</w:t>
      </w:r>
    </w:p>
    <w:p>
      <w:pPr>
        <w:widowControl/>
        <w:spacing w:line="570" w:lineRule="atLeast"/>
        <w:ind w:firstLine="643" w:firstLineChars="200"/>
        <w:rPr>
          <w:rFonts w:hint="eastAsia" w:ascii="Times New Roman" w:hAnsi="Times New Roman" w:eastAsia="黑体" w:cs="Times New Roman"/>
          <w:b/>
          <w:bCs/>
          <w:kern w:val="0"/>
          <w:sz w:val="32"/>
          <w:szCs w:val="32"/>
        </w:rPr>
      </w:pP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一、部门基本概况</w:t>
      </w:r>
    </w:p>
    <w:p>
      <w:pPr>
        <w:spacing w:line="570" w:lineRule="atLeast"/>
        <w:ind w:firstLine="643" w:firstLineChars="200"/>
        <w:rPr>
          <w:rFonts w:eastAsia="楷体_GB2312"/>
          <w:b/>
          <w:sz w:val="32"/>
          <w:szCs w:val="32"/>
        </w:rPr>
      </w:pPr>
      <w:r>
        <w:rPr>
          <w:rFonts w:hint="eastAsia" w:ascii="仿宋_GB2312" w:hAnsi="仿宋_GB2312" w:eastAsia="仿宋_GB2312" w:cs="仿宋_GB2312"/>
          <w:b/>
          <w:bCs/>
          <w:color w:val="000000"/>
          <w:sz w:val="32"/>
          <w:szCs w:val="32"/>
          <w:shd w:val="clear" w:color="auto" w:fill="FFFFFF"/>
        </w:rPr>
        <w:t>（一）职能职责</w:t>
      </w:r>
    </w:p>
    <w:p>
      <w:pPr>
        <w:widowControl/>
        <w:spacing w:line="600" w:lineRule="exact"/>
        <w:ind w:firstLine="627" w:firstLineChars="196"/>
        <w:jc w:val="left"/>
        <w:rPr>
          <w:rFonts w:hint="eastAsia" w:ascii="仿宋" w:hAnsi="仿宋" w:eastAsia="仿宋" w:cs="仿宋"/>
          <w:b w:val="0"/>
          <w:sz w:val="32"/>
          <w:szCs w:val="32"/>
          <w:lang w:val="en-US" w:eastAsia="zh-CN"/>
        </w:rPr>
      </w:pPr>
      <w:r>
        <w:rPr>
          <w:rFonts w:hint="eastAsia" w:ascii="仿宋" w:hAnsi="仿宋" w:eastAsia="仿宋" w:cs="仿宋"/>
          <w:b w:val="0"/>
          <w:sz w:val="32"/>
          <w:szCs w:val="32"/>
          <w:lang w:val="en-US" w:eastAsia="zh-CN"/>
        </w:rPr>
        <w:t>1、宣传贯彻执行国家、省、市、区和上级交通主管部门有关交通运输行政执法(含道路运输、公路路政、城市客运、港口航务、交通工程质量安全监督等)的方针、政策和法律法规规章;参与拟订全区交通运输综合行政执法规范性文件草案;参与编制全区交通运输综合行政执法规划;拟定全区交通运输综合行政执法工作计划，并组织实施。</w:t>
      </w:r>
    </w:p>
    <w:p>
      <w:pPr>
        <w:widowControl/>
        <w:spacing w:line="600" w:lineRule="exact"/>
        <w:ind w:firstLine="627" w:firstLineChars="196"/>
        <w:jc w:val="left"/>
        <w:rPr>
          <w:rFonts w:hint="eastAsia" w:ascii="仿宋" w:hAnsi="仿宋" w:eastAsia="仿宋" w:cs="仿宋"/>
          <w:b w:val="0"/>
          <w:sz w:val="32"/>
          <w:szCs w:val="32"/>
          <w:lang w:val="en-US" w:eastAsia="zh-CN"/>
        </w:rPr>
      </w:pPr>
      <w:r>
        <w:rPr>
          <w:rFonts w:hint="eastAsia" w:ascii="仿宋" w:hAnsi="仿宋" w:eastAsia="仿宋" w:cs="仿宋"/>
          <w:b w:val="0"/>
          <w:sz w:val="32"/>
          <w:szCs w:val="32"/>
          <w:lang w:val="en-US" w:eastAsia="zh-CN"/>
        </w:rPr>
        <w:t>2、依法行使有关法律法规赋予的公路路政、道路运政、城市客运、港口航务、交通工程质量安全监督等交通运输领域的行政处罚权以及与行政处罚相关的行政检查、行政强制等行政执法职能(不包括行使侵占城市道路、违法停放车辆等城市管理行政执法职能).</w:t>
      </w:r>
    </w:p>
    <w:p>
      <w:pPr>
        <w:widowControl/>
        <w:spacing w:line="600" w:lineRule="exact"/>
        <w:ind w:firstLine="627" w:firstLineChars="196"/>
        <w:jc w:val="left"/>
        <w:rPr>
          <w:rFonts w:hint="eastAsia" w:ascii="仿宋" w:hAnsi="仿宋" w:eastAsia="仿宋" w:cs="仿宋"/>
          <w:b w:val="0"/>
          <w:sz w:val="32"/>
          <w:szCs w:val="32"/>
          <w:lang w:val="en-US" w:eastAsia="zh-CN"/>
        </w:rPr>
      </w:pPr>
      <w:r>
        <w:rPr>
          <w:rFonts w:hint="eastAsia" w:ascii="仿宋" w:hAnsi="仿宋" w:eastAsia="仿宋" w:cs="仿宋"/>
          <w:b w:val="0"/>
          <w:sz w:val="32"/>
          <w:szCs w:val="32"/>
          <w:lang w:val="en-US" w:eastAsia="zh-CN"/>
        </w:rPr>
        <w:t>3、负责全区交通运输综合行政执法的组织、指挥、协调;依法制定全区交通运输综合行政执法的程序、标准、规定并组织实施;负责全区重大复杂交通运输违法案件、跨乡镇、街道交通运输违法案件;承担交通运输综合行政执法有关信访举报、服务投诉及违章抄告等事项的受理、处理等工作。</w:t>
      </w:r>
    </w:p>
    <w:p>
      <w:pPr>
        <w:widowControl/>
        <w:spacing w:line="600" w:lineRule="exact"/>
        <w:ind w:firstLine="627" w:firstLineChars="196"/>
        <w:jc w:val="left"/>
        <w:rPr>
          <w:rFonts w:hint="eastAsia" w:ascii="仿宋" w:hAnsi="仿宋" w:eastAsia="仿宋" w:cs="仿宋"/>
          <w:b w:val="0"/>
          <w:sz w:val="32"/>
          <w:szCs w:val="32"/>
          <w:lang w:val="en-US" w:eastAsia="zh-CN"/>
        </w:rPr>
      </w:pPr>
      <w:r>
        <w:rPr>
          <w:rFonts w:hint="eastAsia" w:ascii="仿宋" w:hAnsi="仿宋" w:eastAsia="仿宋" w:cs="仿宋"/>
          <w:b w:val="0"/>
          <w:sz w:val="32"/>
          <w:szCs w:val="32"/>
          <w:lang w:val="en-US" w:eastAsia="zh-CN"/>
        </w:rPr>
        <w:t>4、负责依法对交通运输市场主体及从业人员的经营行为实施监督检查，纠正违章违规经营行为，治理货运车辆超限运输，联合整治非法营运，维护交通运输市场秩序。</w:t>
      </w:r>
    </w:p>
    <w:p>
      <w:pPr>
        <w:widowControl/>
        <w:spacing w:line="600" w:lineRule="exact"/>
        <w:ind w:firstLine="627" w:firstLineChars="196"/>
        <w:jc w:val="left"/>
        <w:rPr>
          <w:rFonts w:hint="eastAsia" w:ascii="仿宋" w:hAnsi="仿宋" w:eastAsia="仿宋" w:cs="仿宋"/>
          <w:b w:val="0"/>
          <w:sz w:val="32"/>
          <w:szCs w:val="32"/>
          <w:lang w:val="en-US" w:eastAsia="zh-CN"/>
        </w:rPr>
      </w:pPr>
      <w:r>
        <w:rPr>
          <w:rFonts w:hint="eastAsia" w:ascii="仿宋" w:hAnsi="仿宋" w:eastAsia="仿宋" w:cs="仿宋"/>
          <w:b w:val="0"/>
          <w:sz w:val="32"/>
          <w:szCs w:val="32"/>
          <w:lang w:val="en-US" w:eastAsia="zh-CN"/>
        </w:rPr>
        <w:t>5、参与交通运输行业诚信体系建设，做好道路运输、城市客运行业质量信誉考核工作。</w:t>
      </w:r>
    </w:p>
    <w:p>
      <w:pPr>
        <w:widowControl/>
        <w:spacing w:line="600" w:lineRule="exact"/>
        <w:ind w:firstLine="627" w:firstLineChars="196"/>
        <w:jc w:val="left"/>
        <w:rPr>
          <w:rFonts w:hint="eastAsia" w:ascii="仿宋" w:hAnsi="仿宋" w:eastAsia="仿宋" w:cs="仿宋"/>
          <w:b w:val="0"/>
          <w:sz w:val="32"/>
          <w:szCs w:val="32"/>
          <w:lang w:val="en-US" w:eastAsia="zh-CN"/>
        </w:rPr>
      </w:pPr>
      <w:r>
        <w:rPr>
          <w:rFonts w:hint="eastAsia" w:ascii="仿宋" w:hAnsi="仿宋" w:eastAsia="仿宋" w:cs="仿宋"/>
          <w:b w:val="0"/>
          <w:sz w:val="32"/>
          <w:szCs w:val="32"/>
          <w:lang w:val="en-US" w:eastAsia="zh-CN"/>
        </w:rPr>
        <w:t>6、参与全区节假日运输、重大物资运输、抢险救灾、交通战备等应急运输保障工作;配合相关部门做好联合运输工作。</w:t>
      </w:r>
    </w:p>
    <w:p>
      <w:pPr>
        <w:widowControl/>
        <w:spacing w:line="600" w:lineRule="exact"/>
        <w:ind w:firstLine="627" w:firstLineChars="196"/>
        <w:jc w:val="left"/>
        <w:rPr>
          <w:rFonts w:hint="eastAsia" w:ascii="仿宋" w:hAnsi="仿宋" w:eastAsia="仿宋" w:cs="仿宋"/>
          <w:b w:val="0"/>
          <w:sz w:val="32"/>
          <w:szCs w:val="32"/>
          <w:lang w:val="en-US" w:eastAsia="zh-CN"/>
        </w:rPr>
      </w:pPr>
      <w:r>
        <w:rPr>
          <w:rFonts w:hint="eastAsia" w:ascii="仿宋" w:hAnsi="仿宋" w:eastAsia="仿宋" w:cs="仿宋"/>
          <w:b w:val="0"/>
          <w:sz w:val="32"/>
          <w:szCs w:val="32"/>
          <w:lang w:val="en-US" w:eastAsia="zh-CN"/>
        </w:rPr>
        <w:t>7、组织或参与跨行业、跨地区联合执法行动。</w:t>
      </w:r>
    </w:p>
    <w:p>
      <w:pPr>
        <w:widowControl/>
        <w:spacing w:line="600" w:lineRule="exact"/>
        <w:ind w:firstLine="627" w:firstLineChars="196"/>
        <w:jc w:val="left"/>
        <w:rPr>
          <w:rFonts w:hint="eastAsia" w:ascii="仿宋" w:hAnsi="仿宋" w:eastAsia="仿宋" w:cs="仿宋"/>
          <w:color w:val="000000"/>
          <w:sz w:val="32"/>
          <w:szCs w:val="32"/>
          <w:shd w:val="clear" w:color="auto" w:fill="FFFFFF"/>
          <w:lang w:val="en-US" w:eastAsia="zh-CN"/>
        </w:rPr>
      </w:pPr>
      <w:r>
        <w:rPr>
          <w:rFonts w:hint="eastAsia" w:ascii="仿宋" w:hAnsi="仿宋" w:eastAsia="仿宋" w:cs="仿宋"/>
          <w:b w:val="0"/>
          <w:sz w:val="32"/>
          <w:szCs w:val="32"/>
          <w:lang w:val="en-US" w:eastAsia="zh-CN"/>
        </w:rPr>
        <w:t>8、完成上级部门交办的其他工作。</w:t>
      </w:r>
    </w:p>
    <w:p>
      <w:pPr>
        <w:spacing w:line="57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（二）机构设置</w:t>
      </w:r>
    </w:p>
    <w:p>
      <w:pPr>
        <w:widowControl/>
        <w:spacing w:line="570" w:lineRule="atLeast"/>
        <w:ind w:firstLine="640" w:firstLineChars="200"/>
        <w:rPr>
          <w:rFonts w:hint="eastAsia" w:eastAsia="仿宋"/>
          <w:b w:val="0"/>
          <w:sz w:val="32"/>
          <w:szCs w:val="32"/>
          <w:lang w:eastAsia="zh-CN"/>
        </w:rPr>
      </w:pPr>
      <w:r>
        <w:rPr>
          <w:rFonts w:hint="eastAsia" w:ascii="仿宋" w:hAnsi="仿宋" w:eastAsia="仿宋" w:cs="仿宋"/>
          <w:kern w:val="0"/>
          <w:sz w:val="32"/>
          <w:szCs w:val="32"/>
          <w:lang w:eastAsia="zh-CN"/>
        </w:rPr>
        <w:t>本单位设</w:t>
      </w:r>
      <w:r>
        <w:rPr>
          <w:rFonts w:hint="eastAsia" w:ascii="仿宋" w:hAnsi="仿宋" w:eastAsia="仿宋" w:cs="仿宋"/>
          <w:kern w:val="0"/>
          <w:sz w:val="32"/>
          <w:szCs w:val="32"/>
          <w:lang w:val="en-US" w:eastAsia="zh-CN"/>
        </w:rPr>
        <w:t>6个内设机构：</w:t>
      </w:r>
      <w:r>
        <w:rPr>
          <w:rFonts w:hint="eastAsia" w:eastAsia="仿宋"/>
          <w:b w:val="0"/>
          <w:sz w:val="32"/>
          <w:szCs w:val="32"/>
        </w:rPr>
        <w:t>综合室</w:t>
      </w:r>
      <w:r>
        <w:rPr>
          <w:rFonts w:hint="eastAsia" w:eastAsia="仿宋"/>
          <w:b w:val="0"/>
          <w:sz w:val="32"/>
          <w:szCs w:val="32"/>
          <w:lang w:eastAsia="zh-CN"/>
        </w:rPr>
        <w:t>、</w:t>
      </w:r>
      <w:r>
        <w:rPr>
          <w:rFonts w:hint="eastAsia" w:eastAsia="仿宋"/>
          <w:b w:val="0"/>
          <w:sz w:val="32"/>
          <w:szCs w:val="32"/>
        </w:rPr>
        <w:t>人事财务室</w:t>
      </w:r>
      <w:r>
        <w:rPr>
          <w:rFonts w:hint="eastAsia" w:eastAsia="仿宋"/>
          <w:b w:val="0"/>
          <w:sz w:val="32"/>
          <w:szCs w:val="32"/>
          <w:lang w:eastAsia="zh-CN"/>
        </w:rPr>
        <w:t>、</w:t>
      </w:r>
      <w:r>
        <w:rPr>
          <w:rFonts w:hint="eastAsia" w:eastAsia="仿宋"/>
          <w:b w:val="0"/>
          <w:sz w:val="32"/>
          <w:szCs w:val="32"/>
        </w:rPr>
        <w:t>路政执法中队</w:t>
      </w:r>
      <w:r>
        <w:rPr>
          <w:rFonts w:hint="eastAsia" w:eastAsia="仿宋"/>
          <w:b w:val="0"/>
          <w:sz w:val="32"/>
          <w:szCs w:val="32"/>
          <w:lang w:eastAsia="zh-CN"/>
        </w:rPr>
        <w:t>、</w:t>
      </w:r>
      <w:r>
        <w:rPr>
          <w:rFonts w:hint="eastAsia" w:eastAsia="仿宋"/>
          <w:b w:val="0"/>
          <w:sz w:val="32"/>
          <w:szCs w:val="32"/>
        </w:rPr>
        <w:t>道路运输稽查中队</w:t>
      </w:r>
      <w:r>
        <w:rPr>
          <w:rFonts w:hint="eastAsia" w:eastAsia="仿宋"/>
          <w:b w:val="0"/>
          <w:sz w:val="32"/>
          <w:szCs w:val="32"/>
          <w:lang w:eastAsia="zh-CN"/>
        </w:rPr>
        <w:t>、</w:t>
      </w:r>
      <w:r>
        <w:rPr>
          <w:rFonts w:hint="eastAsia" w:eastAsia="仿宋"/>
          <w:b w:val="0"/>
          <w:sz w:val="32"/>
          <w:szCs w:val="32"/>
        </w:rPr>
        <w:t>港口航务执法中队</w:t>
      </w:r>
      <w:r>
        <w:rPr>
          <w:rFonts w:hint="eastAsia" w:eastAsia="仿宋"/>
          <w:b w:val="0"/>
          <w:sz w:val="32"/>
          <w:szCs w:val="32"/>
          <w:lang w:eastAsia="zh-CN"/>
        </w:rPr>
        <w:t>、</w:t>
      </w:r>
      <w:r>
        <w:rPr>
          <w:rFonts w:hint="eastAsia" w:eastAsia="仿宋"/>
          <w:b w:val="0"/>
          <w:sz w:val="32"/>
          <w:szCs w:val="32"/>
        </w:rPr>
        <w:t>交通工程质量安全监督执法中队</w:t>
      </w:r>
      <w:r>
        <w:rPr>
          <w:rFonts w:hint="eastAsia" w:eastAsia="仿宋"/>
          <w:b w:val="0"/>
          <w:sz w:val="32"/>
          <w:szCs w:val="32"/>
          <w:lang w:eastAsia="zh-CN"/>
        </w:rPr>
        <w:t>。</w:t>
      </w:r>
    </w:p>
    <w:p>
      <w:pPr>
        <w:widowControl/>
        <w:spacing w:line="570" w:lineRule="atLeast"/>
        <w:ind w:firstLine="643" w:firstLineChars="200"/>
        <w:rPr>
          <w:rFonts w:hint="eastAsia" w:ascii="Times New Roman" w:hAnsi="Times New Roman" w:eastAsia="黑体" w:cs="Times New Roman"/>
          <w:b/>
          <w:bCs/>
          <w:color w:val="auto"/>
          <w:kern w:val="0"/>
          <w:sz w:val="32"/>
          <w:szCs w:val="32"/>
          <w:highlight w:val="none"/>
        </w:rPr>
      </w:pPr>
      <w:r>
        <w:rPr>
          <w:rFonts w:hint="eastAsia" w:ascii="Times New Roman" w:hAnsi="Times New Roman" w:eastAsia="黑体" w:cs="Times New Roman"/>
          <w:b/>
          <w:bCs/>
          <w:color w:val="auto"/>
          <w:kern w:val="0"/>
          <w:sz w:val="32"/>
          <w:szCs w:val="32"/>
          <w:highlight w:val="none"/>
        </w:rPr>
        <w:t>二、部门预算单位构成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Theme="minorEastAsia" w:hAnsiTheme="minorEastAsia" w:eastAsiaTheme="minorEastAsia" w:cstheme="minorEastAsia"/>
          <w:i w:val="0"/>
          <w:iCs w:val="0"/>
          <w:caps w:val="0"/>
          <w:color w:val="auto"/>
          <w:spacing w:val="0"/>
          <w:sz w:val="28"/>
          <w:szCs w:val="28"/>
          <w:highlight w:val="none"/>
          <w:shd w:val="clear" w:fill="FFFFFF"/>
        </w:rPr>
      </w:pPr>
      <w:bookmarkStart w:id="0" w:name="DEPT_COMPOSE"/>
      <w:r>
        <w:rPr>
          <w:rFonts w:hint="eastAsia" w:eastAsia="仿宋_GB2312"/>
          <w:sz w:val="32"/>
          <w:szCs w:val="32"/>
          <w:lang w:val="en-US" w:eastAsia="zh-CN"/>
        </w:rPr>
        <w:t>岳阳市君山区交通综合行政执法大队</w:t>
      </w:r>
      <w:r>
        <w:rPr>
          <w:rFonts w:eastAsia="仿宋_GB2312"/>
          <w:sz w:val="32"/>
          <w:szCs w:val="32"/>
        </w:rPr>
        <w:t>只有本级，没有其他预算单位，因此</w:t>
      </w:r>
      <w:r>
        <w:rPr>
          <w:rFonts w:hint="eastAsia" w:eastAsia="仿宋_GB2312"/>
          <w:sz w:val="32"/>
          <w:szCs w:val="32"/>
          <w:lang w:eastAsia="zh-CN"/>
        </w:rPr>
        <w:t>本单位</w:t>
      </w:r>
      <w:r>
        <w:rPr>
          <w:rFonts w:eastAsia="仿宋_GB2312"/>
          <w:sz w:val="32"/>
          <w:szCs w:val="32"/>
        </w:rPr>
        <w:t>预算仅含本级预算</w:t>
      </w:r>
      <w:r>
        <w:rPr>
          <w:rFonts w:hint="eastAsia" w:ascii="仿宋_GB2312" w:hAnsi="仿宋_GB2312" w:eastAsia="仿宋_GB2312" w:cs="仿宋_GB2312"/>
          <w:color w:val="auto"/>
          <w:kern w:val="2"/>
          <w:sz w:val="32"/>
          <w:szCs w:val="32"/>
          <w:highlight w:val="none"/>
          <w:shd w:val="clear" w:color="auto" w:fill="FFFFFF"/>
          <w:lang w:val="en-US" w:eastAsia="zh-CN" w:bidi="ar-SA"/>
        </w:rPr>
        <w:t>。</w:t>
      </w:r>
      <w:bookmarkEnd w:id="0"/>
    </w:p>
    <w:p>
      <w:pPr>
        <w:widowControl/>
        <w:spacing w:line="570" w:lineRule="atLeast"/>
        <w:ind w:firstLine="643" w:firstLineChars="200"/>
        <w:rPr>
          <w:rFonts w:hint="eastAsia" w:ascii="Times New Roman" w:hAnsi="Times New Roman" w:eastAsia="黑体" w:cs="Times New Roman"/>
          <w:b/>
          <w:bCs/>
          <w:color w:val="auto"/>
          <w:kern w:val="0"/>
          <w:sz w:val="32"/>
          <w:szCs w:val="32"/>
          <w:highlight w:val="none"/>
        </w:rPr>
      </w:pPr>
      <w:r>
        <w:rPr>
          <w:rFonts w:hint="eastAsia" w:ascii="Times New Roman" w:hAnsi="Times New Roman" w:eastAsia="黑体" w:cs="Times New Roman"/>
          <w:b/>
          <w:bCs/>
          <w:color w:val="auto"/>
          <w:kern w:val="0"/>
          <w:sz w:val="32"/>
          <w:szCs w:val="32"/>
          <w:highlight w:val="none"/>
          <w:lang w:val="en-US" w:eastAsia="zh-CN"/>
        </w:rPr>
        <w:t>三、</w:t>
      </w:r>
      <w:r>
        <w:rPr>
          <w:rFonts w:hint="eastAsia" w:ascii="Times New Roman" w:hAnsi="Times New Roman" w:eastAsia="黑体" w:cs="Times New Roman"/>
          <w:b/>
          <w:bCs/>
          <w:color w:val="auto"/>
          <w:kern w:val="0"/>
          <w:sz w:val="32"/>
          <w:szCs w:val="32"/>
          <w:highlight w:val="none"/>
        </w:rPr>
        <w:t>部门收支总体情况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auto"/>
          <w:kern w:val="2"/>
          <w:sz w:val="32"/>
          <w:szCs w:val="32"/>
          <w:highlight w:val="none"/>
          <w:shd w:val="clear" w:color="auto" w:fill="FFFFFF"/>
          <w:lang w:val="en-US" w:eastAsia="zh-CN" w:bidi="ar-SA"/>
        </w:rPr>
      </w:pPr>
      <w:r>
        <w:rPr>
          <w:rFonts w:hint="eastAsia" w:ascii="仿宋_GB2312" w:hAnsi="仿宋_GB2312" w:eastAsia="仿宋_GB2312" w:cs="仿宋_GB2312"/>
          <w:color w:val="auto"/>
          <w:kern w:val="2"/>
          <w:sz w:val="32"/>
          <w:szCs w:val="32"/>
          <w:highlight w:val="none"/>
          <w:shd w:val="clear" w:color="auto" w:fill="FFFFFF"/>
          <w:lang w:val="en-US" w:eastAsia="zh-CN" w:bidi="ar-SA"/>
        </w:rPr>
        <w:t>本单位2024年没有政府性基金预算拨款、国有资本经营预算收入和纳入专户管理的非税收入拨款收入，也没有使用政府性基金预算拨款、国有资本经营预算收入和纳入专户管理的非税收入拨款安排的支出，所以</w:t>
      </w:r>
      <w:r>
        <w:rPr>
          <w:rFonts w:hint="eastAsia" w:ascii="仿宋_GB2312" w:hAnsi="仿宋_GB2312" w:eastAsia="仿宋_GB2312" w:cs="仿宋_GB2312"/>
          <w:color w:val="auto"/>
          <w:sz w:val="32"/>
          <w:szCs w:val="32"/>
          <w:highlight w:val="none"/>
          <w:shd w:val="clear" w:color="auto" w:fill="FFFFFF"/>
          <w:lang w:val="en-US" w:eastAsia="zh-CN"/>
        </w:rPr>
        <w:t>部门预算公开表</w:t>
      </w:r>
      <w:r>
        <w:rPr>
          <w:rFonts w:hint="eastAsia" w:ascii="仿宋_GB2312" w:hAnsi="仿宋_GB2312" w:eastAsia="仿宋_GB2312" w:cs="仿宋_GB2312"/>
          <w:color w:val="auto"/>
          <w:kern w:val="2"/>
          <w:sz w:val="32"/>
          <w:szCs w:val="32"/>
          <w:highlight w:val="none"/>
          <w:shd w:val="clear" w:color="auto" w:fill="FFFFFF"/>
          <w:lang w:val="en-US" w:eastAsia="zh-CN" w:bidi="ar-SA"/>
        </w:rPr>
        <w:t>15、16、17、18、19表均为空。</w:t>
      </w:r>
    </w:p>
    <w:p>
      <w:pPr>
        <w:pStyle w:val="5"/>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Times New Roman" w:hAnsi="Times New Roman" w:eastAsia="仿宋_GB2312" w:cs="Times New Roman"/>
          <w:b/>
          <w:color w:val="auto"/>
          <w:kern w:val="2"/>
          <w:sz w:val="32"/>
          <w:szCs w:val="32"/>
          <w:highlight w:val="none"/>
          <w:lang w:val="en-US" w:eastAsia="zh-CN" w:bidi="ar-SA"/>
        </w:rPr>
        <w:t>收入预算：</w:t>
      </w:r>
      <w:r>
        <w:rPr>
          <w:rFonts w:hint="eastAsia" w:ascii="仿宋_GB2312" w:hAnsi="仿宋_GB2312" w:eastAsia="仿宋_GB2312" w:cs="仿宋_GB2312"/>
          <w:color w:val="auto"/>
          <w:kern w:val="2"/>
          <w:sz w:val="32"/>
          <w:szCs w:val="32"/>
          <w:highlight w:val="none"/>
          <w:shd w:val="clear" w:color="auto" w:fill="FFFFFF"/>
          <w:lang w:val="en-US" w:eastAsia="zh-CN" w:bidi="ar-SA"/>
        </w:rPr>
        <w:t>包括一般公共预算、政府性基金、国有资本经营预算等财政拨款收入，以及经营收入、事业收入等单位资金。2024年本单位收入预算1293.01万元，其中，一般公共预算拨款1293.01万元，政府性基金预算资金0.00万元(所以</w:t>
      </w:r>
      <w:r>
        <w:rPr>
          <w:rFonts w:hint="eastAsia" w:ascii="仿宋_GB2312" w:hAnsi="仿宋_GB2312" w:eastAsia="仿宋_GB2312" w:cs="仿宋_GB2312"/>
          <w:color w:val="auto"/>
          <w:sz w:val="32"/>
          <w:szCs w:val="32"/>
          <w:highlight w:val="none"/>
          <w:shd w:val="clear" w:color="auto" w:fill="FFFFFF"/>
          <w:lang w:val="en-US" w:eastAsia="zh-CN"/>
        </w:rPr>
        <w:t>部门预算公开表</w:t>
      </w:r>
      <w:r>
        <w:rPr>
          <w:rFonts w:hint="eastAsia" w:ascii="仿宋_GB2312" w:hAnsi="仿宋_GB2312" w:eastAsia="仿宋_GB2312" w:cs="仿宋_GB2312"/>
          <w:color w:val="auto"/>
          <w:kern w:val="2"/>
          <w:sz w:val="32"/>
          <w:szCs w:val="32"/>
          <w:highlight w:val="none"/>
          <w:shd w:val="clear" w:color="auto" w:fill="FFFFFF"/>
          <w:lang w:val="en-US" w:eastAsia="zh-CN" w:bidi="ar-SA"/>
        </w:rPr>
        <w:t>15-17表为空)，国有资本经营预算资金0.00万元(所以</w:t>
      </w:r>
      <w:r>
        <w:rPr>
          <w:rFonts w:hint="eastAsia" w:ascii="仿宋_GB2312" w:hAnsi="仿宋_GB2312" w:eastAsia="仿宋_GB2312" w:cs="仿宋_GB2312"/>
          <w:color w:val="auto"/>
          <w:sz w:val="32"/>
          <w:szCs w:val="32"/>
          <w:highlight w:val="none"/>
          <w:shd w:val="clear" w:color="auto" w:fill="FFFFFF"/>
          <w:lang w:val="en-US" w:eastAsia="zh-CN"/>
        </w:rPr>
        <w:t>部门预算公开表</w:t>
      </w:r>
      <w:r>
        <w:rPr>
          <w:rFonts w:hint="eastAsia" w:ascii="仿宋_GB2312" w:hAnsi="仿宋_GB2312" w:eastAsia="仿宋_GB2312" w:cs="仿宋_GB2312"/>
          <w:color w:val="auto"/>
          <w:kern w:val="2"/>
          <w:sz w:val="32"/>
          <w:szCs w:val="32"/>
          <w:highlight w:val="none"/>
          <w:shd w:val="clear" w:color="auto" w:fill="FFFFFF"/>
          <w:lang w:val="en-US" w:eastAsia="zh-CN" w:bidi="ar-SA"/>
        </w:rPr>
        <w:t>18表为空)，财政专户管理资金0.00万元(所以</w:t>
      </w:r>
      <w:r>
        <w:rPr>
          <w:rFonts w:hint="eastAsia" w:ascii="仿宋_GB2312" w:hAnsi="仿宋_GB2312" w:eastAsia="仿宋_GB2312" w:cs="仿宋_GB2312"/>
          <w:color w:val="auto"/>
          <w:sz w:val="32"/>
          <w:szCs w:val="32"/>
          <w:highlight w:val="none"/>
          <w:shd w:val="clear" w:color="auto" w:fill="FFFFFF"/>
          <w:lang w:val="en-US" w:eastAsia="zh-CN"/>
        </w:rPr>
        <w:t>部门预算公开表</w:t>
      </w:r>
      <w:r>
        <w:rPr>
          <w:rFonts w:hint="eastAsia" w:ascii="仿宋_GB2312" w:hAnsi="仿宋_GB2312" w:eastAsia="仿宋_GB2312" w:cs="仿宋_GB2312"/>
          <w:color w:val="auto"/>
          <w:kern w:val="2"/>
          <w:sz w:val="32"/>
          <w:szCs w:val="32"/>
          <w:highlight w:val="none"/>
          <w:shd w:val="clear" w:color="auto" w:fill="FFFFFF"/>
          <w:lang w:val="en-US" w:eastAsia="zh-CN" w:bidi="ar-SA"/>
        </w:rPr>
        <w:t>19表为空</w:t>
      </w:r>
      <w:r>
        <w:rPr>
          <w:rFonts w:hint="eastAsia" w:ascii="仿宋_GB2312" w:hAnsi="仿宋_GB2312" w:eastAsia="仿宋_GB2312" w:cs="仿宋_GB2312"/>
          <w:color w:val="000000"/>
          <w:kern w:val="2"/>
          <w:sz w:val="32"/>
          <w:szCs w:val="32"/>
          <w:shd w:val="clear" w:color="auto" w:fill="FFFFFF"/>
          <w:lang w:val="en-US" w:eastAsia="zh-CN" w:bidi="ar-SA"/>
        </w:rPr>
        <w:t>)，上级补助收入资金0.00万元，事业单位经营收入资金0.00万元，上年结转结余0.00万元。收入较上年减少26.29万元，下降2%。主要原因是人员类支出减少，有人员调出从而导致工资性支出、社会保险缴费等支出减少。</w:t>
      </w: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Chars="200" w:right="0" w:rightChars="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pStyle w:val="5"/>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leftChars="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Times New Roman" w:hAnsi="Times New Roman" w:eastAsia="仿宋_GB2312" w:cs="Times New Roman"/>
          <w:b/>
          <w:kern w:val="2"/>
          <w:sz w:val="32"/>
          <w:szCs w:val="32"/>
          <w:lang w:val="en-US" w:eastAsia="zh-CN" w:bidi="ar-SA"/>
        </w:rPr>
        <w:t>支出预算：</w:t>
      </w:r>
      <w:r>
        <w:rPr>
          <w:rFonts w:hint="eastAsia" w:ascii="仿宋_GB2312" w:hAnsi="仿宋_GB2312" w:eastAsia="仿宋_GB2312" w:cs="仿宋_GB2312"/>
          <w:color w:val="000000"/>
          <w:kern w:val="2"/>
          <w:sz w:val="32"/>
          <w:szCs w:val="32"/>
          <w:shd w:val="clear" w:color="auto" w:fill="FFFFFF"/>
          <w:lang w:val="en-US" w:eastAsia="zh-CN" w:bidi="ar-SA"/>
        </w:rPr>
        <w:t>2024年本单位支出预算1293.01万元，其中：社会保障和就业支出130.1万元，卫生健康支出53.77万元，交通运输支出1018.55万元，住房保障支出90.59万元。支出较上年减少26.29万元，下降2%。主要原因是人员类支出减少，有人员调出从而导致预算支出减少。</w:t>
      </w: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right="0" w:rightChars="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lang w:val="en-US" w:eastAsia="zh-CN"/>
        </w:rPr>
        <w:t xml:space="preserve">     </w:t>
      </w:r>
      <w:r>
        <w:drawing>
          <wp:inline distT="0" distB="0" distL="114300" distR="114300">
            <wp:extent cx="4596765" cy="2696210"/>
            <wp:effectExtent l="4445" t="4445" r="8890" b="23495"/>
            <wp:docPr id="2" name="图表 1" descr="7b0a202020202263686172745265734964223a20223230343735353931220a7d0a"/>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四、一般公共预算拨款支出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本单位一般公共预算拨款支出1293.01万元，其中：交通运输支出1018.55万元，占78.77%；社会保障和就业支出130.1万元，占10.06%；卫生健康支出53.77万元，占4.16%；住房保障支出90.59万元，占7.01%。具体安排情况如下：</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Times New Roman" w:hAnsi="Times New Roman" w:eastAsia="仿宋_GB2312" w:cs="Times New Roman"/>
          <w:b/>
          <w:sz w:val="32"/>
          <w:szCs w:val="32"/>
        </w:rPr>
        <w:t>（一）基本支出：</w:t>
      </w:r>
      <w:r>
        <w:rPr>
          <w:rFonts w:hint="eastAsia" w:ascii="仿宋_GB2312" w:hAnsi="仿宋_GB2312" w:eastAsia="仿宋_GB2312" w:cs="仿宋_GB2312"/>
          <w:color w:val="000000"/>
          <w:kern w:val="2"/>
          <w:sz w:val="32"/>
          <w:szCs w:val="32"/>
          <w:shd w:val="clear" w:color="auto" w:fill="FFFFFF"/>
          <w:lang w:val="en-US" w:eastAsia="zh-CN" w:bidi="ar-SA"/>
        </w:rPr>
        <w:t>2024年本单位基本支出预算数1129.01万元，主要是为保障部门正常运转、完成日常工作任务而发生的各项支出，包括用于基本工资、津贴补贴等人员经费以及办公费、印刷费、水电费、办公设备购置等公用经费。</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（二）项目支出：</w:t>
      </w:r>
      <w:r>
        <w:rPr>
          <w:rFonts w:hint="eastAsia" w:ascii="仿宋_GB2312" w:hAnsi="仿宋_GB2312" w:eastAsia="仿宋_GB2312" w:cs="仿宋_GB2312"/>
          <w:color w:val="000000"/>
          <w:kern w:val="2"/>
          <w:sz w:val="32"/>
          <w:szCs w:val="32"/>
          <w:shd w:val="clear" w:color="auto" w:fill="FFFFFF"/>
          <w:lang w:val="en-US" w:eastAsia="zh-CN" w:bidi="ar-SA"/>
        </w:rPr>
        <w:t>2024年本单位项目支出预算164万元，主要是本单位为完成特定工作任务或事业发展目标而发生的支出，包括有关事业发展专项、专项业务费、基本建设支出等，其中：交通运输支出164万元，主要用于对违法违章经营行为，联合整治非法行为，完成全区节假日、重大物资运输、抢险救灾，交通运输保障工作，配合相关部门做好联合运输工作。</w:t>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五、政府性基金预算支出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2024年度本单位无政府性基金安排的支出，所以公开的附件15-17表（政府性基金预算）为空。</w:t>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六、其他重要事项的情况说明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（一）机关运行经费：</w:t>
      </w:r>
      <w:r>
        <w:rPr>
          <w:rFonts w:hint="eastAsia" w:ascii="仿宋_GB2312" w:hAnsi="仿宋_GB2312" w:eastAsia="仿宋_GB2312" w:cs="仿宋_GB2312"/>
          <w:color w:val="000000"/>
          <w:kern w:val="2"/>
          <w:sz w:val="32"/>
          <w:szCs w:val="32"/>
          <w:shd w:val="clear" w:color="auto" w:fill="FFFFFF"/>
          <w:lang w:val="en-US" w:eastAsia="zh-CN" w:bidi="ar-SA"/>
        </w:rPr>
        <w:t>2024年岳阳市君山区交通运输综合行政执法大队部门机关运行经费99.6万元，比上年预算下降4.6%。主要原因是人员调出，造成公用经费预算减少。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（二）“三公”经费预算：</w:t>
      </w:r>
      <w:r>
        <w:rPr>
          <w:rFonts w:hint="eastAsia" w:ascii="仿宋_GB2312" w:hAnsi="仿宋_GB2312" w:eastAsia="仿宋_GB2312" w:cs="仿宋_GB2312"/>
          <w:color w:val="000000"/>
          <w:kern w:val="2"/>
          <w:sz w:val="32"/>
          <w:szCs w:val="32"/>
          <w:shd w:val="clear" w:color="auto" w:fill="FFFFFF"/>
          <w:lang w:val="en-US" w:eastAsia="zh-CN" w:bidi="ar-SA"/>
        </w:rPr>
        <w:t>2024年本单位“三公”经费预算数为2万元，其中，公务接待费2万元，公务用车购置及运行费0万元（其中，公务用车购置费0万元，公务用车运行费0万元），因公出国（境）费0万元。2024年“三公”经费预算较2023年持平，主要原因是严格落实中央“八项规定”精神和“过紧日子”的要求，从严控制“三公”经费支出。</w:t>
      </w:r>
      <w:bookmarkStart w:id="1" w:name="START_IS_ZERO_06_2"/>
      <w:bookmarkEnd w:id="1"/>
      <w:bookmarkStart w:id="2" w:name="END_IS_ZERO_06_1"/>
      <w:bookmarkEnd w:id="2"/>
      <w:bookmarkStart w:id="3" w:name="DIS_MARK_IS_ZERO_06_2"/>
      <w:bookmarkEnd w:id="3"/>
      <w:bookmarkStart w:id="4" w:name="END_IS_ZERO_06_2"/>
      <w:bookmarkEnd w:id="4"/>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（三）一般性支出情况：</w:t>
      </w:r>
      <w:r>
        <w:rPr>
          <w:rFonts w:hint="eastAsia" w:ascii="仿宋_GB2312" w:hAnsi="仿宋_GB2312" w:eastAsia="仿宋_GB2312" w:cs="仿宋_GB2312"/>
          <w:color w:val="000000"/>
          <w:kern w:val="2"/>
          <w:sz w:val="32"/>
          <w:szCs w:val="32"/>
          <w:shd w:val="clear" w:color="auto" w:fill="FFFFFF"/>
          <w:lang w:val="en-US" w:eastAsia="zh-CN" w:bidi="ar-SA"/>
        </w:rPr>
        <w:t>2024年本单位会议费预算2万元，</w:t>
      </w:r>
      <w:r>
        <w:rPr>
          <w:rFonts w:eastAsia="仿宋_GB2312"/>
          <w:kern w:val="0"/>
          <w:sz w:val="32"/>
          <w:szCs w:val="32"/>
        </w:rPr>
        <w:t>拟召开</w:t>
      </w:r>
      <w:r>
        <w:rPr>
          <w:rFonts w:hint="eastAsia" w:eastAsia="仿宋_GB2312"/>
          <w:kern w:val="0"/>
          <w:sz w:val="32"/>
          <w:szCs w:val="32"/>
          <w:lang w:val="en-US" w:eastAsia="zh-CN"/>
        </w:rPr>
        <w:t>20次</w:t>
      </w:r>
      <w:r>
        <w:rPr>
          <w:rFonts w:eastAsia="仿宋_GB2312"/>
          <w:kern w:val="0"/>
          <w:sz w:val="32"/>
          <w:szCs w:val="32"/>
        </w:rPr>
        <w:t>会议，人数</w:t>
      </w:r>
      <w:r>
        <w:rPr>
          <w:rFonts w:hint="eastAsia" w:eastAsia="仿宋_GB2312"/>
          <w:kern w:val="0"/>
          <w:sz w:val="32"/>
          <w:szCs w:val="32"/>
          <w:lang w:val="en-US" w:eastAsia="zh-CN"/>
        </w:rPr>
        <w:t>300</w:t>
      </w:r>
      <w:r>
        <w:rPr>
          <w:rFonts w:eastAsia="仿宋_GB2312"/>
          <w:kern w:val="0"/>
          <w:sz w:val="32"/>
          <w:szCs w:val="32"/>
        </w:rPr>
        <w:t>人</w:t>
      </w:r>
      <w:r>
        <w:rPr>
          <w:rFonts w:hint="eastAsia" w:eastAsia="仿宋_GB2312"/>
          <w:kern w:val="0"/>
          <w:sz w:val="32"/>
          <w:szCs w:val="32"/>
          <w:lang w:eastAsia="zh-CN"/>
        </w:rPr>
        <w:t>，</w:t>
      </w:r>
      <w:r>
        <w:rPr>
          <w:rFonts w:hint="eastAsia" w:eastAsia="仿宋_GB2312"/>
          <w:kern w:val="0"/>
          <w:sz w:val="32"/>
          <w:szCs w:val="32"/>
          <w:lang w:val="en-US" w:eastAsia="zh-CN"/>
        </w:rPr>
        <w:t>内容为</w:t>
      </w:r>
      <w:r>
        <w:rPr>
          <w:rFonts w:hint="eastAsia" w:eastAsia="仿宋_GB2312"/>
          <w:kern w:val="0"/>
          <w:sz w:val="32"/>
          <w:szCs w:val="32"/>
        </w:rPr>
        <w:t>学习文件精神</w:t>
      </w:r>
      <w:r>
        <w:rPr>
          <w:rFonts w:hint="eastAsia" w:eastAsia="仿宋_GB2312"/>
          <w:kern w:val="0"/>
          <w:sz w:val="32"/>
          <w:szCs w:val="32"/>
          <w:lang w:val="en-US" w:eastAsia="zh-CN"/>
        </w:rPr>
        <w:t>10</w:t>
      </w:r>
      <w:r>
        <w:rPr>
          <w:rFonts w:hint="eastAsia" w:eastAsia="仿宋_GB2312"/>
          <w:kern w:val="0"/>
          <w:sz w:val="32"/>
          <w:szCs w:val="32"/>
        </w:rPr>
        <w:t>次</w:t>
      </w:r>
      <w:r>
        <w:rPr>
          <w:rFonts w:hint="eastAsia" w:eastAsia="仿宋_GB2312"/>
          <w:kern w:val="0"/>
          <w:sz w:val="32"/>
          <w:szCs w:val="32"/>
          <w:lang w:val="en-US" w:eastAsia="zh-CN"/>
        </w:rPr>
        <w:t>和</w:t>
      </w:r>
      <w:r>
        <w:rPr>
          <w:rFonts w:hint="eastAsia" w:eastAsia="仿宋_GB2312"/>
          <w:kern w:val="0"/>
          <w:sz w:val="32"/>
          <w:szCs w:val="32"/>
        </w:rPr>
        <w:t>大队研究会议</w:t>
      </w:r>
      <w:r>
        <w:rPr>
          <w:rFonts w:hint="eastAsia" w:eastAsia="仿宋_GB2312"/>
          <w:kern w:val="0"/>
          <w:sz w:val="32"/>
          <w:szCs w:val="32"/>
          <w:lang w:val="en-US" w:eastAsia="zh-CN"/>
        </w:rPr>
        <w:t>10</w:t>
      </w:r>
      <w:r>
        <w:rPr>
          <w:rFonts w:hint="eastAsia" w:eastAsia="仿宋_GB2312"/>
          <w:kern w:val="0"/>
          <w:sz w:val="32"/>
          <w:szCs w:val="32"/>
        </w:rPr>
        <w:t>次</w:t>
      </w:r>
      <w:r>
        <w:rPr>
          <w:rFonts w:eastAsia="仿宋_GB2312"/>
          <w:kern w:val="0"/>
          <w:sz w:val="32"/>
          <w:szCs w:val="32"/>
        </w:rPr>
        <w:t>；培训费预算</w:t>
      </w:r>
      <w:r>
        <w:rPr>
          <w:rFonts w:hint="eastAsia" w:eastAsia="仿宋_GB2312"/>
          <w:kern w:val="0"/>
          <w:sz w:val="32"/>
          <w:szCs w:val="32"/>
          <w:lang w:val="en-US" w:eastAsia="zh-CN"/>
        </w:rPr>
        <w:t>1</w:t>
      </w:r>
      <w:r>
        <w:rPr>
          <w:rFonts w:eastAsia="仿宋_GB2312"/>
          <w:kern w:val="0"/>
          <w:sz w:val="32"/>
          <w:szCs w:val="32"/>
        </w:rPr>
        <w:t>万元，拟开展</w:t>
      </w:r>
      <w:r>
        <w:rPr>
          <w:rFonts w:hint="eastAsia" w:eastAsia="仿宋_GB2312"/>
          <w:kern w:val="0"/>
          <w:sz w:val="32"/>
          <w:szCs w:val="32"/>
          <w:lang w:val="en-US" w:eastAsia="zh-CN"/>
        </w:rPr>
        <w:t>5次</w:t>
      </w:r>
      <w:r>
        <w:rPr>
          <w:rFonts w:eastAsia="仿宋_GB2312"/>
          <w:kern w:val="0"/>
          <w:sz w:val="32"/>
          <w:szCs w:val="32"/>
        </w:rPr>
        <w:t>培训，人数</w:t>
      </w:r>
      <w:r>
        <w:rPr>
          <w:rFonts w:hint="eastAsia" w:eastAsia="仿宋_GB2312"/>
          <w:kern w:val="0"/>
          <w:sz w:val="32"/>
          <w:szCs w:val="32"/>
          <w:lang w:val="en-US" w:eastAsia="zh-CN"/>
        </w:rPr>
        <w:t>80</w:t>
      </w:r>
      <w:r>
        <w:rPr>
          <w:rFonts w:eastAsia="仿宋_GB2312"/>
          <w:kern w:val="0"/>
          <w:sz w:val="32"/>
          <w:szCs w:val="32"/>
        </w:rPr>
        <w:t>人</w:t>
      </w:r>
      <w:r>
        <w:rPr>
          <w:rFonts w:hint="eastAsia" w:eastAsia="仿宋_GB2312"/>
          <w:kern w:val="0"/>
          <w:sz w:val="32"/>
          <w:szCs w:val="32"/>
          <w:lang w:eastAsia="zh-CN"/>
        </w:rPr>
        <w:t>，</w:t>
      </w:r>
      <w:r>
        <w:rPr>
          <w:rFonts w:hint="eastAsia" w:eastAsia="仿宋_GB2312"/>
          <w:kern w:val="0"/>
          <w:sz w:val="32"/>
          <w:szCs w:val="32"/>
          <w:lang w:val="en-US" w:eastAsia="zh-CN"/>
        </w:rPr>
        <w:t>内容为交通执法培训</w:t>
      </w:r>
      <w:r>
        <w:rPr>
          <w:rFonts w:hint="eastAsia" w:ascii="仿宋_GB2312" w:hAnsi="仿宋_GB2312" w:eastAsia="仿宋_GB2312" w:cs="仿宋_GB2312"/>
          <w:color w:val="000000"/>
          <w:kern w:val="2"/>
          <w:sz w:val="32"/>
          <w:szCs w:val="32"/>
          <w:shd w:val="clear" w:color="auto" w:fill="FFFFFF"/>
          <w:lang w:val="en-US" w:eastAsia="zh-CN" w:bidi="ar-SA"/>
        </w:rPr>
        <w:t>；2024年度本单位未计划举办节庆、晚会、论坛、赛事活动，经费预算0万元。</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（四）政府采购情况：</w:t>
      </w:r>
      <w:r>
        <w:rPr>
          <w:rFonts w:hint="eastAsia" w:ascii="仿宋_GB2312" w:hAnsi="仿宋_GB2312" w:eastAsia="仿宋_GB2312" w:cs="仿宋_GB2312"/>
          <w:color w:val="000000"/>
          <w:kern w:val="2"/>
          <w:sz w:val="32"/>
          <w:szCs w:val="32"/>
          <w:shd w:val="clear" w:color="auto" w:fill="FFFFFF"/>
          <w:lang w:val="en-US" w:eastAsia="zh-CN" w:bidi="ar-SA"/>
        </w:rPr>
        <w:t>2024年本单位政府采购预算总额82.2万元，其中，货物类采购预算14万元；工程类采购预算0万元；服务类采购预算68.2万元。</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（五）国有资产占用使用及新增资产配置情况：</w:t>
      </w:r>
      <w:r>
        <w:rPr>
          <w:rFonts w:hint="eastAsia" w:ascii="仿宋_GB2312" w:hAnsi="仿宋_GB2312" w:eastAsia="仿宋_GB2312" w:cs="仿宋_GB2312"/>
          <w:color w:val="000000"/>
          <w:kern w:val="2"/>
          <w:sz w:val="32"/>
          <w:szCs w:val="32"/>
          <w:shd w:val="clear" w:color="auto" w:fill="FFFFFF"/>
          <w:lang w:val="en-US" w:eastAsia="zh-CN" w:bidi="ar-SA"/>
        </w:rPr>
        <w:t>截至2023年12月底，本单位共有公务用车3辆，其中，机要通信用车0辆，应急保障用车0辆，执法执勤用车3辆，特种专业技术用车0辆，其他按照规定配备的公务用车0辆；单位价值50万元以上设备0台，其中，单位价值100万元以上设备0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right="0" w:firstLine="640" w:firstLineChars="200"/>
        <w:jc w:val="both"/>
        <w:textAlignment w:val="center"/>
        <w:rPr>
          <w:rFonts w:hint="eastAsia" w:ascii="仿宋_GB2312" w:hAnsi="仿宋_GB2312" w:eastAsia="仿宋_GB2312" w:cs="仿宋_GB2312"/>
          <w:color w:val="000000"/>
          <w:kern w:val="2"/>
          <w:sz w:val="32"/>
          <w:szCs w:val="32"/>
          <w:highlight w:val="none"/>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2024年拟新增配置公务用车0辆，其中，机要通信用车0辆，应急保障用车0辆，执法执勤用</w:t>
      </w:r>
      <w:r>
        <w:rPr>
          <w:rFonts w:hint="eastAsia" w:ascii="仿宋_GB2312" w:hAnsi="仿宋_GB2312" w:eastAsia="仿宋_GB2312" w:cs="仿宋_GB2312"/>
          <w:color w:val="000000"/>
          <w:kern w:val="2"/>
          <w:sz w:val="32"/>
          <w:szCs w:val="32"/>
          <w:highlight w:val="none"/>
          <w:shd w:val="clear" w:color="auto" w:fill="FFFFFF"/>
          <w:lang w:val="en-US" w:eastAsia="zh-CN" w:bidi="ar-SA"/>
        </w:rPr>
        <w:t>车0辆，特种专业技术用车0辆，其他按照规定配备的公务用车0辆；新增配备单位价值50万元以上设备0台，其中，单位价值100万元以上设备0台。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highlight w:val="none"/>
          <w:shd w:val="clear" w:color="auto" w:fill="FFFFFF"/>
          <w:lang w:val="en-US" w:eastAsia="zh-CN" w:bidi="ar-SA"/>
        </w:rPr>
        <w:t>（六）预算绩效目标说明：</w:t>
      </w:r>
      <w:r>
        <w:rPr>
          <w:rFonts w:hint="eastAsia" w:ascii="仿宋_GB2312" w:hAnsi="仿宋_GB2312" w:eastAsia="仿宋_GB2312" w:cs="仿宋_GB2312"/>
          <w:color w:val="000000"/>
          <w:kern w:val="2"/>
          <w:sz w:val="32"/>
          <w:szCs w:val="32"/>
          <w:highlight w:val="none"/>
          <w:shd w:val="clear" w:color="auto" w:fill="FFFFFF"/>
          <w:lang w:val="en-US" w:eastAsia="zh-CN" w:bidi="ar-SA"/>
        </w:rPr>
        <w:t>本单位所有支出实行绩效目标管理。纳入2024年部门整体支出绩效目标的金额为1293.01万元，其中，基本支出1129.01万元，项目支出164万元，具体绩效目标详见文尾附表中部门预算公开表21-22表</w:t>
      </w:r>
      <w:r>
        <w:rPr>
          <w:rFonts w:hint="eastAsia" w:ascii="仿宋_GB2312" w:hAnsi="仿宋_GB2312" w:eastAsia="仿宋_GB2312" w:cs="仿宋_GB2312"/>
          <w:color w:val="000000"/>
          <w:kern w:val="2"/>
          <w:sz w:val="32"/>
          <w:szCs w:val="32"/>
          <w:shd w:val="clear" w:color="auto" w:fill="FFFFFF"/>
          <w:lang w:val="en-US" w:eastAsia="zh-CN" w:bidi="ar-SA"/>
        </w:rPr>
        <w:t>。</w:t>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七、名词解释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1．机关运行经费：</w:t>
      </w:r>
      <w:r>
        <w:rPr>
          <w:rFonts w:hint="eastAsia" w:ascii="仿宋_GB2312" w:hAnsi="仿宋_GB2312" w:eastAsia="仿宋_GB2312" w:cs="仿宋_GB2312"/>
          <w:color w:val="000000"/>
          <w:kern w:val="2"/>
          <w:sz w:val="32"/>
          <w:szCs w:val="32"/>
          <w:shd w:val="clear" w:color="auto" w:fill="FFFFFF"/>
          <w:lang w:val="en-US" w:eastAsia="zh-CN" w:bidi="ar-SA"/>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2．“三公”经费：</w:t>
      </w:r>
      <w:r>
        <w:rPr>
          <w:rFonts w:hint="eastAsia" w:ascii="仿宋_GB2312" w:hAnsi="仿宋_GB2312" w:eastAsia="仿宋_GB2312" w:cs="仿宋_GB2312"/>
          <w:color w:val="000000"/>
          <w:kern w:val="2"/>
          <w:sz w:val="32"/>
          <w:szCs w:val="32"/>
          <w:shd w:val="clear" w:color="auto" w:fill="FFFFFF"/>
          <w:lang w:val="en-US" w:eastAsia="zh-CN" w:bidi="ar-SA"/>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bookmarkStart w:id="5" w:name="_GoBack"/>
      <w:bookmarkEnd w:id="5"/>
      <w:r>
        <w:rPr>
          <w:rFonts w:hint="eastAsia" w:ascii="方正小标宋简体" w:hAnsi="Times New Roman" w:eastAsia="方正小标宋简体" w:cs="Times New Roman"/>
          <w:b/>
          <w:bCs/>
          <w:kern w:val="0"/>
          <w:sz w:val="36"/>
          <w:szCs w:val="36"/>
        </w:rPr>
        <w:t>第二部分  2024年部门预算公开表格</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15、政府性基金预算支出表</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空表</w:t>
      </w:r>
      <w:r>
        <w:rPr>
          <w:rFonts w:hint="eastAsia" w:ascii="仿宋_GB2312" w:hAnsi="仿宋_GB2312" w:eastAsia="仿宋_GB2312" w:cs="仿宋_GB2312"/>
          <w:color w:val="000000"/>
          <w:sz w:val="32"/>
          <w:szCs w:val="32"/>
          <w:shd w:val="clear" w:color="auto" w:fill="FFFFFF"/>
          <w:lang w:eastAsia="zh-CN"/>
        </w:rPr>
        <w:t>）</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空表</w:t>
      </w:r>
      <w:r>
        <w:rPr>
          <w:rFonts w:hint="eastAsia" w:ascii="仿宋_GB2312" w:hAnsi="仿宋_GB2312" w:eastAsia="仿宋_GB2312" w:cs="仿宋_GB2312"/>
          <w:color w:val="000000"/>
          <w:sz w:val="32"/>
          <w:szCs w:val="32"/>
          <w:shd w:val="clear" w:color="auto" w:fill="FFFFFF"/>
          <w:lang w:eastAsia="zh-CN"/>
        </w:rPr>
        <w:t>）</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空表</w:t>
      </w:r>
      <w:r>
        <w:rPr>
          <w:rFonts w:hint="eastAsia" w:ascii="仿宋_GB2312" w:hAnsi="仿宋_GB2312" w:eastAsia="仿宋_GB2312" w:cs="仿宋_GB2312"/>
          <w:color w:val="000000"/>
          <w:sz w:val="32"/>
          <w:szCs w:val="32"/>
          <w:shd w:val="clear" w:color="auto" w:fill="FFFFFF"/>
          <w:lang w:eastAsia="zh-CN"/>
        </w:rPr>
        <w:t>）</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18、国有资本经营预算支出表</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空表</w:t>
      </w:r>
      <w:r>
        <w:rPr>
          <w:rFonts w:hint="eastAsia" w:ascii="仿宋_GB2312" w:hAnsi="仿宋_GB2312" w:eastAsia="仿宋_GB2312" w:cs="仿宋_GB2312"/>
          <w:color w:val="000000"/>
          <w:sz w:val="32"/>
          <w:szCs w:val="32"/>
          <w:shd w:val="clear" w:color="auto" w:fill="FFFFFF"/>
          <w:lang w:eastAsia="zh-CN"/>
        </w:rPr>
        <w:t>）</w:t>
      </w:r>
    </w:p>
    <w:p>
      <w:pPr>
        <w:spacing w:line="570" w:lineRule="atLeast"/>
        <w:ind w:firstLine="640" w:firstLineChars="200"/>
        <w:rPr>
          <w:rFonts w:hint="eastAsia" w:ascii="仿宋_GB2312" w:hAnsi="仿宋_GB2312" w:eastAsia="仿宋_GB2312" w:cs="仿宋_GB2312"/>
          <w:color w:val="000000"/>
          <w:sz w:val="32"/>
          <w:szCs w:val="32"/>
          <w:shd w:val="clear" w:color="auto" w:fill="FFFFFF"/>
          <w:lang w:eastAsia="zh-CN"/>
        </w:rPr>
      </w:pPr>
      <w:r>
        <w:rPr>
          <w:rFonts w:hint="eastAsia" w:ascii="仿宋_GB2312" w:hAnsi="仿宋_GB2312" w:eastAsia="仿宋_GB2312" w:cs="仿宋_GB2312"/>
          <w:color w:val="000000"/>
          <w:sz w:val="32"/>
          <w:szCs w:val="32"/>
          <w:shd w:val="clear" w:color="auto" w:fill="FFFFFF"/>
        </w:rPr>
        <w:t>19、财政专户管理资金预算支出表</w:t>
      </w:r>
      <w:r>
        <w:rPr>
          <w:rFonts w:hint="eastAsia" w:ascii="仿宋_GB2312" w:hAnsi="仿宋_GB2312" w:eastAsia="仿宋_GB2312" w:cs="仿宋_GB2312"/>
          <w:color w:val="000000"/>
          <w:sz w:val="32"/>
          <w:szCs w:val="32"/>
          <w:shd w:val="clear" w:color="auto" w:fill="FFFFFF"/>
          <w:lang w:eastAsia="zh-CN"/>
        </w:rPr>
        <w:t>（</w:t>
      </w:r>
      <w:r>
        <w:rPr>
          <w:rFonts w:hint="eastAsia" w:ascii="仿宋_GB2312" w:hAnsi="仿宋_GB2312" w:eastAsia="仿宋_GB2312" w:cs="仿宋_GB2312"/>
          <w:color w:val="000000"/>
          <w:sz w:val="32"/>
          <w:szCs w:val="32"/>
          <w:shd w:val="clear" w:color="auto" w:fill="FFFFFF"/>
          <w:lang w:val="en-US" w:eastAsia="zh-CN"/>
        </w:rPr>
        <w:t>空表</w:t>
      </w:r>
      <w:r>
        <w:rPr>
          <w:rFonts w:hint="eastAsia" w:ascii="仿宋_GB2312" w:hAnsi="仿宋_GB2312" w:eastAsia="仿宋_GB2312" w:cs="仿宋_GB2312"/>
          <w:color w:val="000000"/>
          <w:sz w:val="32"/>
          <w:szCs w:val="32"/>
          <w:shd w:val="clear" w:color="auto" w:fill="FFFFFF"/>
          <w:lang w:eastAsia="zh-CN"/>
        </w:rPr>
        <w:t>）</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w:t>
      </w:r>
      <w:r>
        <w:rPr>
          <w:rFonts w:hint="eastAsia" w:ascii="仿宋_GB2312" w:hAnsi="仿宋_GB2312" w:eastAsia="仿宋_GB2312" w:cs="仿宋_GB2312"/>
          <w:color w:val="000000"/>
          <w:sz w:val="32"/>
          <w:szCs w:val="32"/>
          <w:shd w:val="clear" w:color="auto" w:fill="FFFFFF"/>
          <w:lang w:eastAsia="zh-CN"/>
        </w:rPr>
        <w:t>本单位</w:t>
      </w:r>
      <w:r>
        <w:rPr>
          <w:rFonts w:hint="eastAsia" w:ascii="仿宋_GB2312" w:hAnsi="仿宋_GB2312" w:eastAsia="仿宋_GB2312" w:cs="仿宋_GB2312"/>
          <w:color w:val="000000"/>
          <w:sz w:val="32"/>
          <w:szCs w:val="32"/>
          <w:shd w:val="clear" w:color="auto" w:fill="FFFFFF"/>
        </w:rPr>
        <w:t>无相关收支情况。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附件：岳阳市君山区交通运输综合行政执法大队2024年部门预算公开表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10601030101010101"/>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A00002EF" w:usb1="4000207B"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11038EA"/>
    <w:multiLevelType w:val="singleLevel"/>
    <w:tmpl w:val="511038E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0MzkxYTllNGUzYWMwZmMyNjFiNTViYzNiYzdlYTAifQ=="/>
  </w:docVars>
  <w:rsids>
    <w:rsidRoot w:val="637274E6"/>
    <w:rsid w:val="012D69B5"/>
    <w:rsid w:val="05110300"/>
    <w:rsid w:val="06287461"/>
    <w:rsid w:val="0992531D"/>
    <w:rsid w:val="0A0D382D"/>
    <w:rsid w:val="0A1351F9"/>
    <w:rsid w:val="0B3D575C"/>
    <w:rsid w:val="0D8D68F1"/>
    <w:rsid w:val="0E4B58DB"/>
    <w:rsid w:val="0ED939EE"/>
    <w:rsid w:val="0F1663CA"/>
    <w:rsid w:val="12C10B08"/>
    <w:rsid w:val="13385187"/>
    <w:rsid w:val="15876A82"/>
    <w:rsid w:val="167C1082"/>
    <w:rsid w:val="16B94831"/>
    <w:rsid w:val="17797E84"/>
    <w:rsid w:val="1B156429"/>
    <w:rsid w:val="1BEE388A"/>
    <w:rsid w:val="1C744CBF"/>
    <w:rsid w:val="1E3E7030"/>
    <w:rsid w:val="200307FA"/>
    <w:rsid w:val="20A420AE"/>
    <w:rsid w:val="213E1D14"/>
    <w:rsid w:val="22C85302"/>
    <w:rsid w:val="22CB72A5"/>
    <w:rsid w:val="23052BAC"/>
    <w:rsid w:val="230C7214"/>
    <w:rsid w:val="24247062"/>
    <w:rsid w:val="264178B0"/>
    <w:rsid w:val="296D0EDD"/>
    <w:rsid w:val="29EC6874"/>
    <w:rsid w:val="2A101E05"/>
    <w:rsid w:val="2BF01473"/>
    <w:rsid w:val="2C3047F6"/>
    <w:rsid w:val="2CC90B0B"/>
    <w:rsid w:val="2D6329A9"/>
    <w:rsid w:val="2EF502C5"/>
    <w:rsid w:val="305B1762"/>
    <w:rsid w:val="305B3D34"/>
    <w:rsid w:val="305C2E10"/>
    <w:rsid w:val="324A2389"/>
    <w:rsid w:val="328F1D91"/>
    <w:rsid w:val="32982A78"/>
    <w:rsid w:val="32B11C72"/>
    <w:rsid w:val="32C66482"/>
    <w:rsid w:val="33A62009"/>
    <w:rsid w:val="35683252"/>
    <w:rsid w:val="35A148EA"/>
    <w:rsid w:val="35D63F1B"/>
    <w:rsid w:val="361C522A"/>
    <w:rsid w:val="36BE748E"/>
    <w:rsid w:val="372419C7"/>
    <w:rsid w:val="378B2463"/>
    <w:rsid w:val="38C2711D"/>
    <w:rsid w:val="3951638D"/>
    <w:rsid w:val="3A242018"/>
    <w:rsid w:val="3B792457"/>
    <w:rsid w:val="3BDE696C"/>
    <w:rsid w:val="3F116709"/>
    <w:rsid w:val="3F150D8C"/>
    <w:rsid w:val="3FD64D07"/>
    <w:rsid w:val="3FD80FD4"/>
    <w:rsid w:val="403F2E01"/>
    <w:rsid w:val="44C24001"/>
    <w:rsid w:val="454F60CC"/>
    <w:rsid w:val="4555609A"/>
    <w:rsid w:val="45DA3244"/>
    <w:rsid w:val="47E411CF"/>
    <w:rsid w:val="490966A2"/>
    <w:rsid w:val="49A85EBB"/>
    <w:rsid w:val="49B605D8"/>
    <w:rsid w:val="49BF0A76"/>
    <w:rsid w:val="4AD36F68"/>
    <w:rsid w:val="4ADD73C0"/>
    <w:rsid w:val="4BC03402"/>
    <w:rsid w:val="4D8438DE"/>
    <w:rsid w:val="4DBF1A26"/>
    <w:rsid w:val="4EE728E7"/>
    <w:rsid w:val="51066F16"/>
    <w:rsid w:val="51B004D2"/>
    <w:rsid w:val="52241F08"/>
    <w:rsid w:val="54244912"/>
    <w:rsid w:val="56301712"/>
    <w:rsid w:val="574216FD"/>
    <w:rsid w:val="576A0C54"/>
    <w:rsid w:val="58A12453"/>
    <w:rsid w:val="5A380B96"/>
    <w:rsid w:val="5D647EF4"/>
    <w:rsid w:val="5DE306BB"/>
    <w:rsid w:val="5E1E167F"/>
    <w:rsid w:val="5F3F29C6"/>
    <w:rsid w:val="637274E6"/>
    <w:rsid w:val="63894210"/>
    <w:rsid w:val="64700CAD"/>
    <w:rsid w:val="64C7681D"/>
    <w:rsid w:val="662F72F1"/>
    <w:rsid w:val="66B263EF"/>
    <w:rsid w:val="6826496E"/>
    <w:rsid w:val="69020CEC"/>
    <w:rsid w:val="6B49147A"/>
    <w:rsid w:val="6C0749A4"/>
    <w:rsid w:val="6C5E2742"/>
    <w:rsid w:val="6CB542C8"/>
    <w:rsid w:val="6CC62031"/>
    <w:rsid w:val="6DE859C2"/>
    <w:rsid w:val="70AE175A"/>
    <w:rsid w:val="71CC2190"/>
    <w:rsid w:val="721F6E5B"/>
    <w:rsid w:val="72860C2E"/>
    <w:rsid w:val="728C4B01"/>
    <w:rsid w:val="729A1F96"/>
    <w:rsid w:val="739C7F8F"/>
    <w:rsid w:val="73BE1EBD"/>
    <w:rsid w:val="744F49BF"/>
    <w:rsid w:val="78CC0C1A"/>
    <w:rsid w:val="791A5BDE"/>
    <w:rsid w:val="7AFB04E9"/>
    <w:rsid w:val="7C9338B5"/>
    <w:rsid w:val="7EBE52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page number"/>
    <w:qFormat/>
    <w:uiPriority w:val="0"/>
  </w:style>
  <w:style w:type="character" w:styleId="9">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G:\2024&#24180;&#37096;&#38376;&#39044;&#31639;&#20844;&#24320;&#65288;&#21333;&#20301;&#21457;&#26469;&#30340;&#65289;\&#25910;&#20837;&#39044;&#31639;&#2227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收入预算图</a:t>
            </a:r>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400" b="1" i="0" u="none" strike="noStrike" kern="1200" baseline="0">
                <a:solidFill>
                  <a:schemeClr val="dk1">
                    <a:lumMod val="75000"/>
                    <a:lumOff val="25000"/>
                  </a:schemeClr>
                </a:solidFill>
                <a:latin typeface="+mn-lt"/>
                <a:ea typeface="+mn-ea"/>
                <a:cs typeface="+mn-cs"/>
              </a:defRPr>
            </a:pPr>
            <a:r>
              <a:t>支出预算图</a:t>
            </a:r>
          </a:p>
        </c:rich>
      </c:tx>
      <c:layout/>
      <c:overlay val="0"/>
      <c:spPr>
        <a:noFill/>
        <a:ln>
          <a:noFill/>
        </a:ln>
        <a:effectLst/>
      </c:spPr>
    </c:title>
    <c:autoTitleDeleted val="0"/>
    <c:view3D>
      <c:rotX val="30"/>
      <c:rotY val="0"/>
      <c:depthPercent val="100"/>
      <c:rAngAx val="0"/>
    </c:view3D>
    <c:floor>
      <c:thickness val="0"/>
      <c:spPr>
        <a:noFill/>
        <a:effectLst/>
      </c:spPr>
    </c:floor>
    <c:sideWall>
      <c:thickness val="0"/>
      <c:spPr>
        <a:noFill/>
        <a:effectLst/>
      </c:spPr>
    </c:sideWall>
    <c:backWall>
      <c:thickness val="0"/>
      <c:spPr>
        <a:noFill/>
        <a:effectLst/>
      </c:spPr>
    </c:backWall>
    <c:plotArea>
      <c:layout>
        <c:manualLayout>
          <c:layoutTarget val="inner"/>
          <c:xMode val="edge"/>
          <c:yMode val="edge"/>
          <c:x val="0.0784555877883686"/>
          <c:y val="0.298511275155985"/>
          <c:w val="0.826511949164249"/>
          <c:h val="0.612797291578502"/>
        </c:manualLayout>
      </c:layout>
      <c:pie3DChart>
        <c:varyColors val="1"/>
        <c:ser>
          <c:idx val="0"/>
          <c:order val="0"/>
          <c:spPr/>
          <c:explosion val="0"/>
          <c:dPt>
            <c:idx val="0"/>
            <c:bubble3D val="0"/>
            <c:spPr>
              <a:gradFill>
                <a:gsLst>
                  <a:gs pos="100000">
                    <a:schemeClr val="accent1"/>
                  </a:gs>
                  <a:gs pos="0">
                    <a:schemeClr val="accent1">
                      <a:hueOff val="-1670000"/>
                    </a:schemeClr>
                  </a:gs>
                </a:gsLst>
                <a:lin ang="5400000" scaled="0"/>
              </a:gradFill>
              <a:ln>
                <a:gradFill>
                  <a:gsLst>
                    <a:gs pos="100000">
                      <a:schemeClr val="accent1">
                        <a:lumMod val="75000"/>
                      </a:schemeClr>
                    </a:gs>
                    <a:gs pos="0">
                      <a:schemeClr val="accent1">
                        <a:lumMod val="75000"/>
                        <a:hueOff val="-1670000"/>
                      </a:schemeClr>
                    </a:gs>
                  </a:gsLst>
                  <a:lin ang="4620000" scaled="0"/>
                </a:gradFill>
              </a:ln>
              <a:effectLst/>
            </c:spPr>
          </c:dPt>
          <c:dPt>
            <c:idx val="1"/>
            <c:bubble3D val="0"/>
            <c:spPr>
              <a:gradFill>
                <a:gsLst>
                  <a:gs pos="100000">
                    <a:schemeClr val="accent2"/>
                  </a:gs>
                  <a:gs pos="0">
                    <a:schemeClr val="accent2">
                      <a:hueOff val="-1670000"/>
                    </a:schemeClr>
                  </a:gs>
                </a:gsLst>
                <a:lin ang="5400000" scaled="0"/>
              </a:gradFill>
              <a:ln>
                <a:gradFill>
                  <a:gsLst>
                    <a:gs pos="100000">
                      <a:schemeClr val="accent2">
                        <a:lumMod val="75000"/>
                      </a:schemeClr>
                    </a:gs>
                    <a:gs pos="0">
                      <a:schemeClr val="accent2">
                        <a:lumMod val="75000"/>
                        <a:hueOff val="-1670000"/>
                      </a:schemeClr>
                    </a:gs>
                  </a:gsLst>
                  <a:lin ang="4620000" scaled="0"/>
                </a:gradFill>
              </a:ln>
              <a:effectLst/>
            </c:spPr>
          </c:dPt>
          <c:dPt>
            <c:idx val="2"/>
            <c:bubble3D val="0"/>
            <c:spPr>
              <a:gradFill>
                <a:gsLst>
                  <a:gs pos="100000">
                    <a:schemeClr val="accent3"/>
                  </a:gs>
                  <a:gs pos="0">
                    <a:schemeClr val="accent3">
                      <a:hueOff val="-1670000"/>
                    </a:schemeClr>
                  </a:gs>
                </a:gsLst>
                <a:lin ang="5400000" scaled="0"/>
              </a:gradFill>
              <a:ln>
                <a:gradFill>
                  <a:gsLst>
                    <a:gs pos="100000">
                      <a:schemeClr val="accent3">
                        <a:lumMod val="75000"/>
                      </a:schemeClr>
                    </a:gs>
                    <a:gs pos="0">
                      <a:schemeClr val="accent3">
                        <a:lumMod val="75000"/>
                        <a:hueOff val="-1670000"/>
                      </a:schemeClr>
                    </a:gs>
                  </a:gsLst>
                  <a:lin ang="4620000" scaled="0"/>
                </a:gradFill>
              </a:ln>
              <a:effectLst/>
            </c:spPr>
          </c:dPt>
          <c:dPt>
            <c:idx val="3"/>
            <c:bubble3D val="0"/>
            <c:spPr>
              <a:gradFill>
                <a:gsLst>
                  <a:gs pos="100000">
                    <a:schemeClr val="accent4"/>
                  </a:gs>
                  <a:gs pos="0">
                    <a:schemeClr val="accent4">
                      <a:hueOff val="-1670000"/>
                    </a:schemeClr>
                  </a:gs>
                </a:gsLst>
                <a:lin ang="5400000" scaled="0"/>
              </a:gradFill>
              <a:ln>
                <a:gradFill>
                  <a:gsLst>
                    <a:gs pos="100000">
                      <a:schemeClr val="accent4">
                        <a:lumMod val="75000"/>
                      </a:schemeClr>
                    </a:gs>
                    <a:gs pos="0">
                      <a:schemeClr val="accent4">
                        <a:lumMod val="75000"/>
                        <a:hueOff val="-1670000"/>
                      </a:schemeClr>
                    </a:gs>
                  </a:gsLst>
                  <a:lin ang="4620000" scaled="0"/>
                </a:gradFill>
              </a:ln>
              <a:effectLst/>
            </c:spPr>
          </c:dPt>
          <c:dLbls>
            <c:dLbl>
              <c:idx val="1"/>
              <c:layout>
                <c:manualLayout>
                  <c:x val="-0.0766680480729383"/>
                  <c:y val="0.0706547338671691"/>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00828843762950684"/>
                  <c:y val="-0.0953838907206783"/>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205138831330294"/>
                  <c:y val="0.0141309467734338"/>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numFmt formatCode="0.00%" sourceLinked="0"/>
            <c:spPr>
              <a:gradFill>
                <a:gsLst>
                  <a:gs pos="0">
                    <a:srgbClr val="FBFB11"/>
                  </a:gs>
                  <a:gs pos="100000">
                    <a:srgbClr val="838309"/>
                  </a:gs>
                </a:gsLst>
                <a:lin ang="5340000" scaled="0"/>
              </a:grad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lumMod val="75000"/>
                        <a:lumOff val="25000"/>
                      </a:schemeClr>
                    </a:solidFill>
                    <a:latin typeface="+mn-lt"/>
                    <a:ea typeface="+mn-ea"/>
                    <a:cs typeface="+mn-cs"/>
                  </a:defRPr>
                </a:pPr>
              </a:p>
            </c:txPr>
            <c:dLblPos val="bestFit"/>
            <c:showLegendKey val="0"/>
            <c:showVal val="0"/>
            <c:showCatName val="1"/>
            <c:showSerName val="0"/>
            <c:showPercent val="1"/>
            <c:showBubbleSize val="0"/>
            <c:showLeaderLines val="1"/>
            <c:extLst>
              <c:ext xmlns:c15="http://schemas.microsoft.com/office/drawing/2012/chart" uri="{CE6537A1-D6FC-4f65-9D91-7224C49458BB}">
                <c15:layout/>
                <c15:showLeaderLines val="1"/>
                <c15:leaderLines>
                  <c:spPr>
                    <a:ln w="9525">
                      <a:solidFill>
                        <a:schemeClr val="dk1">
                          <a:lumMod val="35000"/>
                          <a:lumOff val="65000"/>
                        </a:schemeClr>
                      </a:solidFill>
                    </a:ln>
                    <a:effectLst/>
                  </c:spPr>
                </c15:leaderLines>
              </c:ext>
            </c:extLst>
          </c:dLbls>
          <c:cat>
            <c:strRef>
              <c:f>[收入预算图.xlsx]Sheet1!$B$2:$B$5</c:f>
              <c:strCache>
                <c:ptCount val="4"/>
                <c:pt idx="0">
                  <c:v>交通运输支出</c:v>
                </c:pt>
                <c:pt idx="1">
                  <c:v>社会保障和就业支出</c:v>
                </c:pt>
                <c:pt idx="2">
                  <c:v>卫生健康支出</c:v>
                </c:pt>
                <c:pt idx="3">
                  <c:v>住房保障支出</c:v>
                </c:pt>
              </c:strCache>
            </c:strRef>
          </c:cat>
          <c:val>
            <c:numRef>
              <c:f>[收入预算图.xlsx]Sheet1!$C$2:$C$5</c:f>
              <c:numCache>
                <c:formatCode>0.00%</c:formatCode>
                <c:ptCount val="4"/>
                <c:pt idx="0">
                  <c:v>0.787735593692237</c:v>
                </c:pt>
                <c:pt idx="1">
                  <c:v>0.100617937989652</c:v>
                </c:pt>
                <c:pt idx="2">
                  <c:v>0.0415851385526794</c:v>
                </c:pt>
                <c:pt idx="3">
                  <c:v>0.0700613297654311</c:v>
                </c:pt>
              </c:numCache>
            </c:numRef>
          </c:val>
        </c:ser>
        <c:dLbls>
          <c:showLegendKey val="0"/>
          <c:showVal val="0"/>
          <c:showCatName val="1"/>
          <c:showSerName val="0"/>
          <c:showPercent val="1"/>
          <c:showBubbleSize val="0"/>
        </c:dLbls>
      </c:pie3DChart>
      <c:spPr>
        <a:noFill/>
        <a:ln>
          <a:noFill/>
        </a:ln>
        <a:effectLst/>
      </c:spPr>
    </c:plotArea>
    <c:legend>
      <c:legendPos val="t"/>
      <c:layout>
        <c:manualLayout>
          <c:xMode val="edge"/>
          <c:yMode val="edge"/>
          <c:x val="0.0918635170603675"/>
          <c:y val="0.095148374941121"/>
          <c:w val="0.859925404061334"/>
          <c:h val="0.119170984455959"/>
        </c:manualLayou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dk1">
                  <a:lumMod val="65000"/>
                  <a:lumOff val="35000"/>
                </a:schemeClr>
              </a:solidFill>
              <a:latin typeface="+mn-lt"/>
              <a:ea typeface="+mn-ea"/>
              <a:cs typeface="+mn-cs"/>
            </a:defRPr>
          </a:pPr>
        </a:p>
      </c:txPr>
    </c:legend>
    <c:plotVisOnly val="1"/>
    <c:dispBlanksAs val="gap"/>
    <c:showDLblsOverMax val="0"/>
  </c:chart>
  <c:spPr>
    <a:solidFill>
      <a:schemeClr val="lt1">
        <a:lumMod val="96000"/>
      </a:schemeClr>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10097">
  <cs:axisTitle>
    <cs:lnRef idx="0"/>
    <cs:fillRef idx="0"/>
    <cs:effectRef idx="0"/>
    <cs:fontRef idx="minor">
      <a:schemeClr val="dk1">
        <a:lumMod val="65000"/>
        <a:lumOff val="35000"/>
      </a:schemeClr>
    </cs:fontRef>
    <cs:defRPr sz="1000" kern="1200"/>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lt1">
          <a:lumMod val="96000"/>
        </a:schemeClr>
      </a:solidFill>
      <a:ln w="9525" cap="flat" cmpd="sng" algn="ctr">
        <a:solidFill>
          <a:schemeClr val="tx1">
            <a:lumMod val="15000"/>
            <a:lumOff val="85000"/>
          </a:schemeClr>
        </a:solidFill>
        <a:round/>
      </a:ln>
    </cs:spPr>
    <cs:defRPr sz="1000" kern="1200"/>
  </cs:chartArea>
  <cs:dataLabel>
    <cs:lnRef idx="0"/>
    <cs:fillRef idx="0"/>
    <cs:effectRef idx="0"/>
    <cs:fontRef idx="minor">
      <a:schemeClr val="dk1">
        <a:lumMod val="75000"/>
        <a:lumOff val="25000"/>
      </a:schemeClr>
    </cs:fontRef>
    <cs:defRPr sz="10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10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styleClr val="auto"/>
    </cs:lnRef>
    <cs:fillRef idx="0">
      <cs:styleClr val="auto"/>
    </cs:fillRef>
    <cs:effectRef idx="0"/>
    <cs:fontRef idx="minor">
      <a:schemeClr val="dk1"/>
    </cs:fontRef>
    <cs:spPr>
      <a:gradFill>
        <a:gsLst>
          <a:gs pos="100000">
            <a:schemeClr val="phClr"/>
          </a:gs>
          <a:gs pos="0">
            <a:schemeClr val="phClr">
              <a:hueOff val="-1670000"/>
            </a:schemeClr>
          </a:gs>
        </a:gsLst>
        <a:lin ang="5400000" scaled="0"/>
      </a:gradFill>
      <a:ln>
        <a:gradFill>
          <a:gsLst>
            <a:gs pos="100000">
              <a:schemeClr val="phClr">
                <a:lumMod val="75000"/>
              </a:schemeClr>
            </a:gs>
            <a:gs pos="0">
              <a:schemeClr val="phClr">
                <a:lumMod val="75000"/>
                <a:hueOff val="-1670000"/>
              </a:schemeClr>
            </a:gs>
          </a:gsLst>
          <a:lin ang="4620000" scaled="0"/>
        </a:gradFill>
      </a:ln>
      <a:effectLst/>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dk1">
        <a:lumMod val="65000"/>
        <a:lumOff val="35000"/>
      </a:schemeClr>
    </cs:fontRef>
    <cs:spPr>
      <a:noFill/>
      <a:ln w="9525" cap="flat" cmpd="sng" algn="ctr">
        <a:solidFill>
          <a:schemeClr val="dk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a:solidFill>
          <a:schemeClr val="dk1">
            <a:lumMod val="35000"/>
            <a:lumOff val="65000"/>
          </a:schemeClr>
        </a:solidFill>
      </a:ln>
    </cs:spPr>
  </cs:dropLine>
  <cs:errorBar>
    <cs:lnRef idx="0"/>
    <cs:fillRef idx="0"/>
    <cs:effectRef idx="0"/>
    <cs:fontRef idx="minor">
      <a:schemeClr val="tx1"/>
    </cs:fontRef>
    <cs:spPr>
      <a:ln w="9525" cap="flat" cmpd="sng" algn="ctr">
        <a:solidFill>
          <a:schemeClr val="dk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lt1">
            <a:lumMod val="902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a:solidFill>
          <a:schemeClr val="dk1">
            <a:lumMod val="75000"/>
            <a:lumOff val="25000"/>
          </a:schemeClr>
        </a:solidFill>
      </a:ln>
    </cs:spPr>
  </cs:hiLoLine>
  <cs:leaderLine>
    <cs:lnRef idx="0"/>
    <cs:fillRef idx="0"/>
    <cs:effectRef idx="0"/>
    <cs:fontRef idx="minor">
      <a:schemeClr val="tx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tx1"/>
    </cs:fontRef>
    <cs:spPr>
      <a:ln w="9525">
        <a:solidFill>
          <a:schemeClr val="dk1">
            <a:lumMod val="35000"/>
            <a:lumOff val="65000"/>
          </a:schemeClr>
        </a:solidFill>
      </a:ln>
    </cs:spPr>
  </cs:seriesLine>
  <cs:title>
    <cs:lnRef idx="0"/>
    <cs:fillRef idx="0"/>
    <cs:effectRef idx="0"/>
    <cs:fontRef idx="minor">
      <a:schemeClr val="dk1">
        <a:lumMod val="75000"/>
        <a:lumOff val="25000"/>
      </a:schemeClr>
    </cs:fontRef>
    <cs:defRPr sz="1400" b="1" kern="120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4007</Words>
  <Characters>4290</Characters>
  <Lines>0</Lines>
  <Paragraphs>0</Paragraphs>
  <TotalTime>23</TotalTime>
  <ScaleCrop>false</ScaleCrop>
  <LinksUpToDate>false</LinksUpToDate>
  <CharactersWithSpaces>4296</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2024-05-22T14:39:00Z</dcterms:created>
  <dc:creator>dell</dc:creator>
  <cp:lastModifiedBy>Administrator</cp:lastModifiedBy>
  <dcterms:modified xsi:type="dcterms:W3CDTF">2024-06-22T14:43:17Z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D46C1DC725D24F35A1253A88619758A5_13</vt:lpwstr>
  </property>
</Properties>
</file>