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岳阳市君山区交通运输局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1、承担涉及综合运输体系的规划协调工作，会同有关部门组织编制全区综合运输体系规划，指导交通运输枢纽规划和管理；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2、组织指导并监督实施全区公路行业政策和标准；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3、负责交通运输行政执法工作。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4、参与拟订物流业发展战略和规划，拟订有关政策并监督实施。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5、承担道路运输市场监管责任；组织全区道路运输有关政策和运营规范的监督实施，指导全区城乡客运及有关设施规划和管理工作，负责城市公共交通客运管理工作。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6、负责提出全区公路、内河水路固定资产投资规模和方向、区级财政性资金安排建议，按区政府规定权限审批、核准全区规划内和年度计划规模内固定资产投资项目；提出有关财政、土地、价格等政策建议。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7、负责公路、公路桥梁、渡口、隧道的行业管理。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8、承担公路、内河水建设市场监管责任；拟订全区公路、水路工程建设相关制度并监督实施；组织实施国家、省、市、区重点和大中弄公路、内河水路交通工程建设，负责公路、内河水路交通建设工程造价控制和工程质量、安全生产的监督管理，负责交通重点工程建设资金的筹集，区管交通资金的拔付和监管；指导交通运输基础设施管理和维护，承担有有关重要设施的管理和维护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9、指导全区公路、内河水路行业安全生产和应急管理工作。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10、负责全区交通运输行业科技工作。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11、负责审核、审批本辖区内交通运输行业行政许可工作。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12、指导交通运输行业开展对外交流合作和交通外经外贸工作。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13、负责渔船检验和监督管理工作。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14、承办区委、区人民政府交办的其他事项。</w:t>
      </w:r>
    </w:p>
    <w:p>
      <w:pPr>
        <w:widowControl/>
        <w:spacing w:line="600" w:lineRule="exact"/>
        <w:ind w:firstLine="627" w:firstLineChars="196"/>
        <w:jc w:val="left"/>
        <w:rPr>
          <w:rFonts w:hint="default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15、职能转变。区交通运输局要切实强化综合交通运输理念，推动交通运输行业转变政府职能，深化简政放权；规范行政审批运行机制，推行交通运输综合审批服务，提高交通运输政务服务效率和质量；加快综合交通运输现代化治理体系建设，提供优质便民化服务，建设人民满意交通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Theme="minorEastAsia" w:hAnsi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君山区交通运输局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  <w:lang w:val="en-US" w:eastAsia="zh-CN"/>
        </w:rPr>
        <w:t>内设机构7个，行政事业单位5个。内设机构包括：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办公室（党建办）、政策法规股、规划统计和基本建设股（行政审批股）、运管公交股（交通战备办）、安全监督管理和渔业船舶检验股、政工人事股、财务股（审计股）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  <w:lang w:val="en-US" w:eastAsia="zh-CN"/>
        </w:rPr>
        <w:t>等</w:t>
      </w:r>
      <w:r>
        <w:rPr>
          <w:rFonts w:hint="eastAsia" w:ascii="仿宋" w:hAnsi="仿宋" w:eastAsia="仿宋" w:cs="仿宋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7个股室。行政事业单位包括：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君山区交通运输局</w:t>
      </w:r>
      <w:r>
        <w:rPr>
          <w:rFonts w:hint="eastAsia" w:ascii="仿宋" w:hAnsi="仿宋" w:eastAsia="仿宋" w:cs="仿宋"/>
          <w:sz w:val="32"/>
          <w:szCs w:val="32"/>
        </w:rPr>
        <w:t>部门本级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、君山区道路运输服务中心、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君山区农村公路养护中心、君山区港航管理所、君山区交通运输综合行政执法大队。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本部门预算为汇总预算，纳入2024年部门预算编制范围的预算单位包括：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1、君山区交通运输局部门本级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2、君山区道路运输服务中心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3、君山区农村公路养护中心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4、君山区港航管理所</w:t>
      </w:r>
    </w:p>
    <w:p>
      <w:pPr>
        <w:spacing w:line="570" w:lineRule="atLeast"/>
        <w:ind w:firstLine="640" w:firstLineChars="200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5、君山区交通运输综合行政执法大队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  <w:t>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部门收入预算2779.03万元，其中，一般公共预算拨款2779.03万元，政府性基金预算资金0.00万元(所以部门预算公开表15-17表为空)，国有资本经营预算资金0.00万元(所以部门预算公开表18表为空)，财政专户管理资金0.00万元(所以部门预算公开表19表为空)，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级补助收入资金0.00万元，事业单位经营收入资金0.00万元，上年结转结余0.00万元。收入较去年减少177.03万元，下降5.99%。主要原因是对个人和家庭的补助中离退休费减少98.9万元，从而导致本年预算减少。</w:t>
      </w:r>
    </w:p>
    <w:p>
      <w:pPr>
        <w:numPr>
          <w:ilvl w:val="0"/>
          <w:numId w:val="0"/>
        </w:numPr>
        <w:spacing w:line="570" w:lineRule="atLeas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numPr>
          <w:ilvl w:val="0"/>
          <w:numId w:val="1"/>
        </w:numPr>
        <w:spacing w:line="570" w:lineRule="atLeast"/>
        <w:ind w:left="0" w:leftChars="0"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支出预算2779.03万元，其中：社会保障和就业支出303.26万元，卫生健康支出88.61万元，节能环保支出80万元，城乡社区支出120万元，交通运输支出2042.49万元，住房保障支出144.67万元。支出较上年减少177.03万元，下降5.99%。主要原因是对个人和家庭的补助中离退休费减少98.9万元，从而导致对个人和家庭的补助预算支出减少。</w:t>
      </w:r>
    </w:p>
    <w:p>
      <w:pPr>
        <w:numPr>
          <w:ilvl w:val="0"/>
          <w:numId w:val="0"/>
        </w:numPr>
        <w:spacing w:line="570" w:lineRule="atLeas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一般公共预算拨款支出2779.03万元，其中：社会保障和就业支出303.26万元，占10.91%；卫生健康支出88.61万元，占3.19%；节能环保支出80万元，占2.88%；城乡社区支出120万元，占4.32%；交通运输支出2042.49万元，占73.5%；住房保障支出144.67万元占5.2%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2024年本部门基本支出预算数1907.03万元，主要是为保障部门正常运转、完成日常工作任务而发生的各项支出，包括用于基本工资、津贴补贴等人员经费以及办公费、印刷费、水电费、办公设备购置等公用经费。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2024年本部门项目支出预算872万元，主要是本部门为完成特定工作任务或事业发展目标而发生的支出，包括有关事业发展专项、专项业务费、基本建设支出等，其中：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节能环保支出80万元，主要用于落实环保要求，提升水污染防治能力。交通运输支出672万元，主要用于交通重大项目推进、开展农村公路建设和养护工作、深化平安交通和绿色交通建设、提升行业治理能力、持续深化货车超限超戴治理能力、持续强化非法营运车辆治理、全面加强路域水域环境治理等方面；城乡社区支出120万元，主要用于承担社会义务，提升城乡公交运营维护能力，对城市公交政策性补助方面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2024年度本部门无政府性基金安排的支出，所以公开的附件15-17表（政府性基金预算）为空。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widowControl/>
        <w:spacing w:line="600" w:lineRule="exact"/>
        <w:ind w:firstLine="630" w:firstLineChars="196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君山区交通运输局</w:t>
      </w:r>
      <w:r>
        <w:rPr>
          <w:rFonts w:hint="eastAsia" w:ascii="仿宋" w:hAnsi="仿宋" w:eastAsia="仿宋" w:cs="仿宋"/>
          <w:sz w:val="32"/>
          <w:szCs w:val="32"/>
        </w:rPr>
        <w:t>部门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本级、</w:t>
      </w:r>
      <w:r>
        <w:rPr>
          <w:rFonts w:hint="eastAsia" w:eastAsia="仿宋_GB2312"/>
          <w:sz w:val="32"/>
          <w:szCs w:val="32"/>
          <w:lang w:eastAsia="zh-CN"/>
        </w:rPr>
        <w:t>君山区道路运输服务中心</w:t>
      </w:r>
      <w:r>
        <w:rPr>
          <w:rFonts w:hint="eastAsia" w:eastAsia="仿宋_GB2312"/>
          <w:sz w:val="32"/>
          <w:szCs w:val="32"/>
          <w:lang w:val="en-US" w:eastAsia="zh-CN"/>
        </w:rPr>
        <w:t>、君山区农村公路养护中心、君山区港航管理所、君山区交通运输综合行政执法大队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等5家行政事业单位的机关运行经费164.93万元，比上年预算下降1.12%。主要原因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是人员退休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造成公用经费预算减少。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君山区交通运输局</w:t>
      </w:r>
      <w:r>
        <w:rPr>
          <w:rFonts w:hint="eastAsia" w:ascii="仿宋" w:hAnsi="仿宋" w:eastAsia="仿宋" w:cs="仿宋"/>
          <w:sz w:val="32"/>
          <w:szCs w:val="32"/>
        </w:rPr>
        <w:t>部门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  <w:lang w:val="en-US" w:eastAsia="zh-CN"/>
        </w:rPr>
        <w:t>机关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本级、</w:t>
      </w:r>
      <w:r>
        <w:rPr>
          <w:rFonts w:hint="eastAsia" w:eastAsia="仿宋_GB2312"/>
          <w:sz w:val="32"/>
          <w:szCs w:val="32"/>
          <w:lang w:eastAsia="zh-CN"/>
        </w:rPr>
        <w:t>君山区道路运输服务中心</w:t>
      </w:r>
      <w:r>
        <w:rPr>
          <w:rFonts w:hint="eastAsia" w:eastAsia="仿宋_GB2312"/>
          <w:sz w:val="32"/>
          <w:szCs w:val="32"/>
          <w:lang w:val="en-US" w:eastAsia="zh-CN"/>
        </w:rPr>
        <w:t>、君山区农村公路养护中心、君山区港航管理所、君山区交通运输综合行政执法大队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等5家行政事业单位“三公”经费预算数为2.6万元，其中，公务接待费2.6万元，公务用车购置及运行费0万元（其中，公务用车购置费0万元，公务用车运行费0万元），因公出国（境）费0万元。2024年“三公”经费预算较2023年减少1.82万元，主要原因是严格落实中央“八项规定”精神和“过紧日子”的要求，从严控制“三公”经费支出。</w:t>
      </w:r>
      <w:bookmarkStart w:id="0" w:name="DIS_MARK_IS_ZERO_06_2"/>
      <w:bookmarkEnd w:id="0"/>
      <w:bookmarkStart w:id="1" w:name="END_IS_ZERO_06_1"/>
      <w:bookmarkEnd w:id="1"/>
      <w:bookmarkStart w:id="2" w:name="START_IS_ZERO_06_2"/>
      <w:bookmarkEnd w:id="2"/>
      <w:bookmarkStart w:id="3" w:name="END_IS_ZERO_06_2"/>
      <w:bookmarkEnd w:id="3"/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2024年本部门会议费预算2万元，拟召开学习研讨等20次会议，人数300人，内容为</w:t>
      </w:r>
      <w:r>
        <w:rPr>
          <w:rFonts w:hint="eastAsia" w:eastAsia="仿宋_GB2312"/>
          <w:kern w:val="0"/>
          <w:sz w:val="32"/>
          <w:szCs w:val="32"/>
        </w:rPr>
        <w:t>学习文件精神</w:t>
      </w:r>
      <w:r>
        <w:rPr>
          <w:rFonts w:hint="eastAsia" w:eastAsia="仿宋_GB2312"/>
          <w:kern w:val="0"/>
          <w:sz w:val="32"/>
          <w:szCs w:val="32"/>
          <w:lang w:eastAsia="zh-CN"/>
        </w:rPr>
        <w:t>、</w:t>
      </w:r>
      <w:r>
        <w:rPr>
          <w:rFonts w:hint="eastAsia" w:eastAsia="仿宋_GB2312"/>
          <w:kern w:val="0"/>
          <w:sz w:val="32"/>
          <w:szCs w:val="32"/>
        </w:rPr>
        <w:t>大队研</w:t>
      </w:r>
      <w:r>
        <w:rPr>
          <w:rFonts w:hint="eastAsia" w:eastAsia="仿宋_GB2312"/>
          <w:kern w:val="0"/>
          <w:sz w:val="32"/>
          <w:szCs w:val="32"/>
          <w:lang w:eastAsia="zh-CN"/>
        </w:rPr>
        <w:t>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等；培训费预算1万元，拟开展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交通执法培训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等5次培训，人数80人，内容为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交通执法培训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等；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2024年度本部门未计划举办节庆、晚会、论坛、赛事活动，经费预算0万元。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2024年本部门政府采购预算总额276.4万元，其中，货物类采购预算59.5万元；工程类采购预算20万元；服务类采购预算196.9万元。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截至2023年12月底，本部门共有公务用车5辆，其中，机要通信用车0辆，应急保障用车0辆，执法执勤用车4辆，特种专业技术用车0辆，其他按照规定配备的公务用车1辆；单位价值50万元以上设备0台，其中，单位价值100万元以上设备0台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2024年拟新增配置公务用车0辆，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其中，机要通信用车0辆，应急保障用车0辆，执法执勤用车0辆，特种专业技术用车0辆，其他按照规定配备的公务用车0辆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；新增配备单位价值50万元以上设备0台，其中，单位价值100万元以上设备0台。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本部门所有支出实行绩效目标管理。纳入2024年部门整体支出绩效目标的金额为2779.03万元，其中，基本支出1907.03万元，项目支出872万元，具体绩效目标详见文尾附表中部门预算公开表21-2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spacing w:line="570" w:lineRule="atLeast"/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Theme="minorEastAsia" w:hAnsiTheme="minorEastAsia" w:eastAsiaTheme="minorEastAsia" w:cstheme="minorEastAsia"/>
          <w:sz w:val="28"/>
          <w:szCs w:val="28"/>
        </w:rPr>
      </w:pPr>
      <w:bookmarkStart w:id="4" w:name="_GoBack"/>
      <w:bookmarkEnd w:id="4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空表</w:t>
      </w:r>
      <w:r>
        <w:rPr>
          <w:rFonts w:hint="eastAsia" w:eastAsia="仿宋_GB2312"/>
          <w:sz w:val="32"/>
          <w:szCs w:val="32"/>
          <w:lang w:eastAsia="zh-CN"/>
        </w:rPr>
        <w:t>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附件：岳阳市君山区交通运输局2024年部门预算公开表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both"/>
        <w:textAlignment w:val="center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50E854"/>
    <w:multiLevelType w:val="singleLevel"/>
    <w:tmpl w:val="A250E854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0D1261"/>
    <w:rsid w:val="05974297"/>
    <w:rsid w:val="066547B5"/>
    <w:rsid w:val="0794481D"/>
    <w:rsid w:val="09CE567E"/>
    <w:rsid w:val="0BC81D71"/>
    <w:rsid w:val="0BD240F7"/>
    <w:rsid w:val="0C5D03D7"/>
    <w:rsid w:val="0C923A83"/>
    <w:rsid w:val="0E5B42C5"/>
    <w:rsid w:val="112B4160"/>
    <w:rsid w:val="11A2545A"/>
    <w:rsid w:val="167C1082"/>
    <w:rsid w:val="16FB76F0"/>
    <w:rsid w:val="1C6F6CFF"/>
    <w:rsid w:val="1C744CBF"/>
    <w:rsid w:val="1ECC4DAF"/>
    <w:rsid w:val="1F8F2DF1"/>
    <w:rsid w:val="20CE0ED9"/>
    <w:rsid w:val="232333DF"/>
    <w:rsid w:val="2C4643B2"/>
    <w:rsid w:val="2C8B2374"/>
    <w:rsid w:val="2CD84711"/>
    <w:rsid w:val="2D3A78E3"/>
    <w:rsid w:val="328F1D91"/>
    <w:rsid w:val="371917BE"/>
    <w:rsid w:val="418F547B"/>
    <w:rsid w:val="436D70FC"/>
    <w:rsid w:val="4AF62C56"/>
    <w:rsid w:val="4DBA372C"/>
    <w:rsid w:val="4E511DD4"/>
    <w:rsid w:val="4EE728E7"/>
    <w:rsid w:val="514F30C0"/>
    <w:rsid w:val="51B62990"/>
    <w:rsid w:val="5B525B22"/>
    <w:rsid w:val="5BCD52BC"/>
    <w:rsid w:val="5EE20BF5"/>
    <w:rsid w:val="62CB7F2F"/>
    <w:rsid w:val="637274E6"/>
    <w:rsid w:val="68675E30"/>
    <w:rsid w:val="6D6656CC"/>
    <w:rsid w:val="6DE7565E"/>
    <w:rsid w:val="706C7341"/>
    <w:rsid w:val="73626AED"/>
    <w:rsid w:val="78CC0C1A"/>
    <w:rsid w:val="7C7F7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237255329393531"/>
                  <c:y val="-0.013388649694055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0230956398883565"/>
                  <c:y val="0.20775171493918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0"/>
                  <c:y val="0.0031739314430808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社会保障和就业支出</c:v>
                </c:pt>
                <c:pt idx="1">
                  <c:v>卫生健康支出</c:v>
                </c:pt>
                <c:pt idx="2">
                  <c:v>节能环保支出</c:v>
                </c:pt>
                <c:pt idx="3">
                  <c:v>住房保障支出</c:v>
                </c:pt>
                <c:pt idx="4">
                  <c:v>城乡社区支出</c:v>
                </c:pt>
                <c:pt idx="5">
                  <c:v>交通运输支出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0.1091</c:v>
                </c:pt>
                <c:pt idx="1">
                  <c:v>0.0319</c:v>
                </c:pt>
                <c:pt idx="2">
                  <c:v>0.0288</c:v>
                </c:pt>
                <c:pt idx="3">
                  <c:v>0.052</c:v>
                </c:pt>
                <c:pt idx="4">
                  <c:v>0.0432</c:v>
                </c:pt>
                <c:pt idx="5">
                  <c:v>0.735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4555</Words>
  <Characters>4881</Characters>
  <Lines>0</Lines>
  <Paragraphs>0</Paragraphs>
  <TotalTime>8</TotalTime>
  <ScaleCrop>false</ScaleCrop>
  <LinksUpToDate>false</LinksUpToDate>
  <CharactersWithSpaces>4891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2024-06-22T14:49:21Z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97EC2D88CBA84F1D8366743041E6F09D_13</vt:lpwstr>
  </property>
</Properties>
</file>