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atLeast"/>
        <w:jc w:val="center"/>
        <w:rPr>
          <w:rFonts w:hint="eastAsia" w:ascii="方正小标宋简体" w:hAnsi="方正小标宋简体" w:eastAsia="方正小标宋简体" w:cs="方正小标宋简体"/>
          <w:b/>
          <w:bCs/>
          <w:sz w:val="44"/>
          <w:szCs w:val="44"/>
          <w:highlight w:val="none"/>
          <w:lang w:val="en-US" w:eastAsia="zh-CN"/>
        </w:rPr>
      </w:pPr>
    </w:p>
    <w:p>
      <w:pPr>
        <w:spacing w:line="570" w:lineRule="atLeast"/>
        <w:jc w:val="center"/>
        <w:rPr>
          <w:rFonts w:hint="eastAsia" w:ascii="方正小标宋简体" w:hAnsi="方正小标宋简体" w:eastAsia="方正小标宋简体" w:cs="方正小标宋简体"/>
          <w:b/>
          <w:bCs/>
          <w:sz w:val="44"/>
          <w:szCs w:val="44"/>
          <w:highlight w:val="none"/>
          <w:lang w:val="en-US" w:eastAsia="zh-CN"/>
        </w:rPr>
      </w:pPr>
    </w:p>
    <w:p>
      <w:pPr>
        <w:spacing w:line="570" w:lineRule="atLeast"/>
        <w:jc w:val="center"/>
        <w:rPr>
          <w:rFonts w:hint="eastAsia" w:ascii="方正小标宋简体" w:hAnsi="方正小标宋简体" w:eastAsia="方正小标宋简体" w:cs="方正小标宋简体"/>
          <w:b/>
          <w:bCs/>
          <w:sz w:val="44"/>
          <w:szCs w:val="44"/>
          <w:highlight w:val="none"/>
          <w:lang w:val="en-US" w:eastAsia="zh-CN"/>
        </w:rPr>
      </w:pPr>
    </w:p>
    <w:p>
      <w:pPr>
        <w:spacing w:line="570" w:lineRule="atLeast"/>
        <w:jc w:val="center"/>
        <w:rPr>
          <w:rFonts w:hint="eastAsia" w:ascii="方正小标宋简体" w:hAnsi="方正小标宋简体" w:eastAsia="方正小标宋简体" w:cs="方正小标宋简体"/>
          <w:b/>
          <w:bCs/>
          <w:sz w:val="44"/>
          <w:szCs w:val="44"/>
          <w:highlight w:val="none"/>
          <w:lang w:val="en-US" w:eastAsia="zh-CN"/>
        </w:rPr>
      </w:pPr>
    </w:p>
    <w:p>
      <w:pPr>
        <w:spacing w:line="570" w:lineRule="atLeast"/>
        <w:jc w:val="center"/>
        <w:rPr>
          <w:rFonts w:hint="eastAsia" w:ascii="方正小标宋简体" w:hAnsi="方正小标宋简体" w:eastAsia="方正小标宋简体" w:cs="方正小标宋简体"/>
          <w:b/>
          <w:bCs/>
          <w:sz w:val="44"/>
          <w:szCs w:val="44"/>
          <w:highlight w:val="none"/>
          <w:lang w:val="en-US" w:eastAsia="zh-CN"/>
        </w:rPr>
      </w:pPr>
    </w:p>
    <w:p>
      <w:pPr>
        <w:spacing w:line="570" w:lineRule="atLeast"/>
        <w:jc w:val="center"/>
        <w:rPr>
          <w:rFonts w:hint="eastAsia" w:ascii="方正小标宋简体" w:hAnsi="方正小标宋简体" w:eastAsia="方正小标宋简体" w:cs="方正小标宋简体"/>
          <w:b/>
          <w:bCs/>
          <w:sz w:val="44"/>
          <w:szCs w:val="44"/>
          <w:highlight w:val="none"/>
          <w:lang w:val="en-US" w:eastAsia="zh-CN"/>
        </w:rPr>
      </w:pPr>
    </w:p>
    <w:p>
      <w:pPr>
        <w:spacing w:line="570" w:lineRule="atLeast"/>
        <w:jc w:val="center"/>
        <w:rPr>
          <w:rFonts w:hint="eastAsia" w:ascii="方正小标宋简体" w:hAnsi="方正小标宋简体" w:eastAsia="方正小标宋简体" w:cs="方正小标宋简体"/>
          <w:b/>
          <w:bCs/>
          <w:sz w:val="44"/>
          <w:szCs w:val="44"/>
          <w:highlight w:val="none"/>
          <w:lang w:val="en-US" w:eastAsia="zh-CN"/>
        </w:rPr>
      </w:pPr>
      <w:r>
        <w:rPr>
          <w:rFonts w:hint="eastAsia" w:ascii="方正小标宋简体" w:hAnsi="方正小标宋简体" w:eastAsia="方正小标宋简体" w:cs="方正小标宋简体"/>
          <w:b/>
          <w:bCs/>
          <w:sz w:val="44"/>
          <w:szCs w:val="44"/>
          <w:highlight w:val="none"/>
          <w:lang w:val="en-US" w:eastAsia="zh-CN"/>
        </w:rPr>
        <w:t>岳阳市君山区城市管理综合行政执法大队</w:t>
      </w:r>
    </w:p>
    <w:p>
      <w:pPr>
        <w:spacing w:line="570" w:lineRule="atLeast"/>
        <w:jc w:val="center"/>
        <w:rPr>
          <w:rFonts w:hint="eastAsia" w:ascii="黑体" w:hAnsi="黑体" w:eastAsia="黑体" w:cs="黑体"/>
          <w:b/>
          <w:bCs/>
          <w:sz w:val="48"/>
          <w:szCs w:val="48"/>
          <w:highlight w:val="none"/>
        </w:rPr>
      </w:pPr>
      <w:r>
        <w:rPr>
          <w:rFonts w:hint="eastAsia" w:ascii="方正小标宋简体" w:hAnsi="方正小标宋简体" w:eastAsia="方正小标宋简体" w:cs="方正小标宋简体"/>
          <w:b/>
          <w:bCs/>
          <w:sz w:val="44"/>
          <w:szCs w:val="44"/>
          <w:highlight w:val="none"/>
          <w:lang w:val="en-US" w:eastAsia="zh-CN"/>
        </w:rPr>
        <w:t>2024年部门预算公开</w:t>
      </w:r>
    </w:p>
    <w:p>
      <w:pPr>
        <w:rPr>
          <w:rFonts w:hint="eastAsia"/>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p>
    <w:p>
      <w:pPr>
        <w:widowControl/>
        <w:spacing w:line="570" w:lineRule="atLeast"/>
        <w:jc w:val="center"/>
        <w:rPr>
          <w:rFonts w:hint="eastAsia" w:ascii="Times New Roman" w:hAnsi="Times New Roman" w:eastAsia="黑体" w:cs="Times New Roman"/>
          <w:b/>
          <w:kern w:val="0"/>
          <w:sz w:val="36"/>
          <w:szCs w:val="36"/>
          <w:highlight w:val="none"/>
        </w:rPr>
      </w:pPr>
      <w:r>
        <w:rPr>
          <w:rFonts w:hint="eastAsia" w:ascii="Times New Roman" w:hAnsi="Times New Roman" w:eastAsia="黑体" w:cs="Times New Roman"/>
          <w:b/>
          <w:kern w:val="0"/>
          <w:sz w:val="36"/>
          <w:szCs w:val="36"/>
          <w:highlight w:val="none"/>
        </w:rPr>
        <w:t>目 录</w:t>
      </w:r>
    </w:p>
    <w:p>
      <w:pPr>
        <w:ind w:firstLine="643" w:firstLineChars="200"/>
        <w:rPr>
          <w:rFonts w:hint="eastAsia" w:asciiTheme="minorEastAsia" w:hAnsiTheme="minorEastAsia" w:eastAsiaTheme="minorEastAsia" w:cstheme="minorEastAsia"/>
          <w:sz w:val="28"/>
          <w:szCs w:val="28"/>
          <w:highlight w:val="none"/>
        </w:rPr>
      </w:pPr>
      <w:r>
        <w:rPr>
          <w:rFonts w:hint="eastAsia" w:ascii="黑体" w:hAnsi="黑体" w:eastAsia="黑体" w:cs="黑体"/>
          <w:b/>
          <w:bCs/>
          <w:kern w:val="0"/>
          <w:sz w:val="32"/>
          <w:szCs w:val="32"/>
          <w:highlight w:val="none"/>
        </w:rPr>
        <w:t>第一部分 2024年部门预算说明</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一、部门基本概况</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二、部门预算单位构成</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三、部门收支总体情况</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五、政府性基金预算支出</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六、其他重要事项的情况说明</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七、名词解释</w:t>
      </w:r>
    </w:p>
    <w:p>
      <w:pPr>
        <w:ind w:firstLine="643" w:firstLineChars="200"/>
        <w:rPr>
          <w:rFonts w:hint="eastAsia" w:asciiTheme="minorEastAsia" w:hAnsiTheme="minorEastAsia" w:eastAsiaTheme="minorEastAsia" w:cstheme="minorEastAsia"/>
          <w:sz w:val="28"/>
          <w:szCs w:val="28"/>
          <w:highlight w:val="none"/>
        </w:rPr>
      </w:pPr>
      <w:r>
        <w:rPr>
          <w:rFonts w:hint="eastAsia" w:ascii="黑体" w:hAnsi="黑体" w:eastAsia="黑体" w:cs="黑体"/>
          <w:b/>
          <w:bCs/>
          <w:kern w:val="0"/>
          <w:sz w:val="32"/>
          <w:szCs w:val="32"/>
          <w:highlight w:val="none"/>
        </w:rPr>
        <w:t>第二部分 2024年部门预算表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15、政府性基金预算支出表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16、政府性基金预算支出分类汇总表（按政府预算经济分类）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17、政府性基金预算支出分类汇总表（按部门预算经济分类）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18、国有资本经营预算支出表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19、财政专户管理资金预算支出表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rPr>
      </w:pPr>
      <w:r>
        <w:rPr>
          <w:rFonts w:hint="eastAsia" w:ascii="仿宋_GB2312" w:hAnsi="仿宋_GB2312" w:eastAsia="仿宋_GB2312" w:cs="仿宋_GB2312"/>
          <w:color w:val="000000"/>
          <w:sz w:val="32"/>
          <w:szCs w:val="32"/>
          <w:highlight w:val="none"/>
          <w:shd w:val="clear" w:color="auto" w:fill="FFFFFF"/>
        </w:rPr>
        <w:t>注：以上部门预算公开报表中，空表表示本部门无相关收支情况。</w:t>
      </w:r>
    </w:p>
    <w:p>
      <w:pPr>
        <w:jc w:val="center"/>
        <w:rPr>
          <w:rFonts w:hint="eastAsia" w:asciiTheme="minorEastAsia" w:hAnsiTheme="minorEastAsia" w:eastAsiaTheme="minorEastAsia" w:cstheme="minorEastAsia"/>
          <w:b/>
          <w:bCs/>
          <w:sz w:val="28"/>
          <w:szCs w:val="28"/>
          <w:highlight w:val="none"/>
        </w:rPr>
      </w:pPr>
    </w:p>
    <w:p>
      <w:pPr>
        <w:jc w:val="center"/>
        <w:rPr>
          <w:rFonts w:hint="eastAsia" w:ascii="Times New Roman" w:hAnsi="Times New Roman" w:eastAsia="方正小标宋_GBK" w:cs="Times New Roman"/>
          <w:b/>
          <w:bCs/>
          <w:kern w:val="0"/>
          <w:sz w:val="36"/>
          <w:szCs w:val="36"/>
          <w:highlight w:val="none"/>
        </w:rPr>
      </w:pPr>
      <w:r>
        <w:rPr>
          <w:rFonts w:hint="eastAsia" w:ascii="Times New Roman" w:hAnsi="Times New Roman" w:eastAsia="方正小标宋_GBK" w:cs="Times New Roman"/>
          <w:b/>
          <w:bCs/>
          <w:kern w:val="0"/>
          <w:sz w:val="36"/>
          <w:szCs w:val="36"/>
          <w:highlight w:val="none"/>
        </w:rPr>
        <w:t>第一部分 部门预算公开说明</w:t>
      </w:r>
    </w:p>
    <w:p>
      <w:pPr>
        <w:ind w:firstLine="643" w:firstLineChars="200"/>
        <w:rPr>
          <w:rFonts w:hint="eastAsia" w:ascii="Times New Roman" w:hAnsi="Times New Roman" w:eastAsia="黑体" w:cs="Times New Roman"/>
          <w:b/>
          <w:bCs/>
          <w:kern w:val="0"/>
          <w:sz w:val="32"/>
          <w:szCs w:val="32"/>
          <w:highlight w:val="none"/>
        </w:rPr>
      </w:pPr>
    </w:p>
    <w:p>
      <w:pPr>
        <w:ind w:firstLine="643" w:firstLineChars="200"/>
        <w:rPr>
          <w:rFonts w:hint="eastAsia" w:asciiTheme="minorEastAsia" w:hAnsiTheme="minorEastAsia" w:eastAsiaTheme="minorEastAsia" w:cstheme="minorEastAsia"/>
          <w:b/>
          <w:bCs/>
          <w:sz w:val="28"/>
          <w:szCs w:val="28"/>
          <w:highlight w:val="none"/>
        </w:rPr>
      </w:pPr>
      <w:r>
        <w:rPr>
          <w:rFonts w:hint="eastAsia" w:ascii="Times New Roman" w:hAnsi="Times New Roman" w:eastAsia="黑体" w:cs="Times New Roman"/>
          <w:b/>
          <w:bCs/>
          <w:kern w:val="0"/>
          <w:sz w:val="32"/>
          <w:szCs w:val="32"/>
          <w:highlight w:val="none"/>
        </w:rPr>
        <w:t>一、</w:t>
      </w:r>
      <w:r>
        <w:rPr>
          <w:rFonts w:hint="eastAsia" w:ascii="Times New Roman" w:hAnsi="Times New Roman" w:eastAsia="黑体" w:cs="Times New Roman"/>
          <w:b/>
          <w:bCs/>
          <w:kern w:val="0"/>
          <w:sz w:val="32"/>
          <w:szCs w:val="32"/>
          <w:highlight w:val="none"/>
          <w:lang w:val="en-US" w:eastAsia="zh-CN"/>
        </w:rPr>
        <w:t>部门</w:t>
      </w:r>
      <w:r>
        <w:rPr>
          <w:rFonts w:hint="eastAsia" w:ascii="Times New Roman" w:hAnsi="Times New Roman" w:eastAsia="黑体" w:cs="Times New Roman"/>
          <w:b/>
          <w:bCs/>
          <w:kern w:val="0"/>
          <w:sz w:val="32"/>
          <w:szCs w:val="32"/>
          <w:highlight w:val="none"/>
        </w:rPr>
        <w:t>基本概况</w:t>
      </w:r>
    </w:p>
    <w:p>
      <w:pPr>
        <w:spacing w:line="570" w:lineRule="atLeast"/>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（一）职能职责</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君山区城市管理综合行政执法大队，主要负责市容环境卫生管理、市政设施、禁炮、户外广告、渣土运输等方面执法管理工作。</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1.违法停放车辆方面的职责。负责机动车道和非机动车道以外公共区域静态停车秩序的监督管理，行使以上区域内违法停放车辆行为的行政处罚权。</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2.生态环境保护方面的职责。负责在商业经营活动中使用商音队或商噪声物品行为、露天焚烧枯枝落叶、餐饮油烟排放监管等产生烟尘污染、在临街占道和出店从事烧烤致使排放油烟对附近居民的居住环境造成污染的监督管理和执法工作。</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3.扬尘治理方面的职责。负责区本级管理区域内市政维修工程施工、土石方调配运输、公共场地堆放物料、施工工地周边秩序、城区破占道施工管理等所产生扬尘污染防治的监督管理。</w:t>
      </w:r>
    </w:p>
    <w:p>
      <w:pPr>
        <w:spacing w:line="570" w:lineRule="atLeast"/>
        <w:ind w:firstLine="643" w:firstLineChars="200"/>
        <w:rPr>
          <w:rFonts w:hint="eastAsia" w:ascii="仿宋_GB2312" w:hAnsi="仿宋_GB2312" w:eastAsia="仿宋_GB2312" w:cs="仿宋_GB2312"/>
          <w:color w:val="000000"/>
          <w:sz w:val="32"/>
          <w:szCs w:val="32"/>
          <w:highlight w:val="none"/>
          <w:shd w:val="clear" w:color="auto" w:fill="FFFFFF"/>
          <w:lang w:val="zh-CN" w:eastAsia="zh-CN"/>
        </w:rPr>
      </w:pPr>
      <w:r>
        <w:rPr>
          <w:rFonts w:hint="eastAsia" w:ascii="仿宋_GB2312" w:hAnsi="仿宋_GB2312" w:eastAsia="仿宋_GB2312" w:cs="仿宋_GB2312"/>
          <w:b/>
          <w:bCs/>
          <w:color w:val="000000"/>
          <w:sz w:val="32"/>
          <w:szCs w:val="32"/>
          <w:highlight w:val="none"/>
          <w:shd w:val="clear" w:color="auto" w:fill="FFFFFF"/>
          <w:lang w:val="en-US" w:eastAsia="zh-CN"/>
        </w:rPr>
        <w:t>（二）机构设置</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zh-CN" w:eastAsia="zh-CN"/>
        </w:rPr>
        <w:t>岳阳市君山区城市管理综合</w:t>
      </w:r>
      <w:r>
        <w:rPr>
          <w:rFonts w:hint="eastAsia" w:ascii="仿宋_GB2312" w:hAnsi="仿宋_GB2312" w:eastAsia="仿宋_GB2312" w:cs="仿宋_GB2312"/>
          <w:color w:val="000000"/>
          <w:sz w:val="32"/>
          <w:szCs w:val="32"/>
          <w:highlight w:val="none"/>
          <w:shd w:val="clear" w:color="auto" w:fill="FFFFFF"/>
          <w:lang w:val="en-US" w:eastAsia="zh-CN"/>
        </w:rPr>
        <w:t>行政</w:t>
      </w:r>
      <w:r>
        <w:rPr>
          <w:rFonts w:hint="eastAsia" w:ascii="仿宋_GB2312" w:hAnsi="仿宋_GB2312" w:eastAsia="仿宋_GB2312" w:cs="仿宋_GB2312"/>
          <w:color w:val="000000"/>
          <w:sz w:val="32"/>
          <w:szCs w:val="32"/>
          <w:highlight w:val="none"/>
          <w:shd w:val="clear" w:color="auto" w:fill="FFFFFF"/>
          <w:lang w:val="zh-CN" w:eastAsia="zh-CN"/>
        </w:rPr>
        <w:t>执法大队</w:t>
      </w:r>
      <w:r>
        <w:rPr>
          <w:rFonts w:hint="eastAsia" w:ascii="仿宋_GB2312" w:hAnsi="仿宋_GB2312" w:eastAsia="仿宋_GB2312" w:cs="仿宋_GB2312"/>
          <w:color w:val="000000"/>
          <w:sz w:val="32"/>
          <w:szCs w:val="32"/>
          <w:highlight w:val="none"/>
          <w:shd w:val="clear" w:color="auto" w:fill="FFFFFF"/>
          <w:lang w:val="en-US" w:eastAsia="zh-CN"/>
        </w:rPr>
        <w:t>内设机构6个。内设机构包括：办公室、执法中队（负责君山区城管执法领域、市容秩序责任区域：进港路、荆江门路、富岗路、白杨路、丁家路、国泰路、李记路、杨树路、岳华西路。）、一中队（负责君山大道（挂口桥以北）、柳林大道、求学路、农科园路、黄岸路）、二中队（负责君山大道（挂口桥以南至洞庭大道）、柳毅大道（东起老十字渠，西至工业园三角坪）、富民路、卫星路（北起柳毅路，南至洞庭大道）、西环路（北起柳毅路，南至洞庭大道）、民旺路（北起富民路，南至洞庭大道）、创业路（东起惠民路，西至卫星路）、旅游北路、洞庭大道北（东起惠民路，西至花样年华）、刘艳诊所巷。）、三中队（负责旅游南路、洞庭大道（东起光明路，西至卫星路）、光明北路、千亩田路、君山大道（北起洞庭大道，南至人民医院）、民旺路（北起洞庭大道，南至千亩田路）、西环路（北起洞庭大道，南至千亩田路）、医院路、清螺小区东边路、中堂路、沙鸥路。）、四中队（负责光明大道（北起洞庭大道，南至林业局）、景明大道（北起三分场六队交界处，南至道路尽头）、洞庭大道（东起大桥处，北至光明路）、福祥路、安保路及马拉松赛道（北起垃圾处理中心，南至旅游南路）、滨江路。）6个股室。</w:t>
      </w:r>
    </w:p>
    <w:p>
      <w:pPr>
        <w:ind w:firstLine="643" w:firstLineChars="200"/>
        <w:rPr>
          <w:rFonts w:hint="eastAsia" w:ascii="Times New Roman" w:hAnsi="Times New Roman" w:eastAsia="黑体" w:cs="Times New Roman"/>
          <w:b/>
          <w:bCs/>
          <w:kern w:val="0"/>
          <w:sz w:val="32"/>
          <w:szCs w:val="32"/>
          <w:highlight w:val="none"/>
          <w:lang w:val="en-US" w:eastAsia="zh-CN"/>
        </w:rPr>
      </w:pPr>
      <w:r>
        <w:rPr>
          <w:rFonts w:hint="eastAsia" w:ascii="Times New Roman" w:hAnsi="Times New Roman" w:eastAsia="黑体" w:cs="Times New Roman"/>
          <w:b/>
          <w:bCs/>
          <w:kern w:val="0"/>
          <w:sz w:val="32"/>
          <w:szCs w:val="32"/>
          <w:highlight w:val="none"/>
          <w:lang w:val="en-US" w:eastAsia="zh-CN"/>
        </w:rPr>
        <w:t>二、部门预算单位构成</w:t>
      </w:r>
    </w:p>
    <w:p>
      <w:pPr>
        <w:spacing w:line="570" w:lineRule="atLeast"/>
        <w:ind w:firstLine="600" w:firstLineChars="200"/>
        <w:rPr>
          <w:rFonts w:hint="eastAsia" w:ascii="仿宋_GB2312" w:hAnsi="仿宋_GB2312" w:eastAsia="仿宋_GB2312" w:cs="仿宋_GB2312"/>
          <w:color w:val="000000"/>
          <w:sz w:val="32"/>
          <w:szCs w:val="32"/>
          <w:highlight w:val="none"/>
          <w:shd w:val="clear" w:color="auto" w:fill="FFFFFF"/>
          <w:lang w:val="en-US" w:eastAsia="zh-CN"/>
        </w:rPr>
      </w:pPr>
      <w:bookmarkStart w:id="0" w:name="DEPT_COMPOSE"/>
      <w:r>
        <w:rPr>
          <w:rFonts w:hint="eastAsia" w:ascii="仿宋" w:hAnsi="仿宋" w:eastAsia="仿宋" w:cs="仿宋"/>
          <w:sz w:val="30"/>
          <w:szCs w:val="30"/>
          <w:highlight w:val="none"/>
          <w:lang w:val="zh-CN"/>
        </w:rPr>
        <w:t>岳</w:t>
      </w:r>
      <w:r>
        <w:rPr>
          <w:rFonts w:hint="eastAsia" w:ascii="仿宋_GB2312" w:hAnsi="仿宋_GB2312" w:eastAsia="仿宋_GB2312" w:cs="仿宋_GB2312"/>
          <w:color w:val="000000"/>
          <w:sz w:val="32"/>
          <w:szCs w:val="32"/>
          <w:highlight w:val="none"/>
          <w:shd w:val="clear" w:color="auto" w:fill="FFFFFF"/>
          <w:lang w:val="zh-CN" w:eastAsia="zh-CN"/>
        </w:rPr>
        <w:t>阳市君山区城市管理综合</w:t>
      </w:r>
      <w:r>
        <w:rPr>
          <w:rFonts w:hint="eastAsia" w:ascii="仿宋_GB2312" w:hAnsi="仿宋_GB2312" w:eastAsia="仿宋_GB2312" w:cs="仿宋_GB2312"/>
          <w:color w:val="000000"/>
          <w:sz w:val="32"/>
          <w:szCs w:val="32"/>
          <w:highlight w:val="none"/>
          <w:shd w:val="clear" w:color="auto" w:fill="FFFFFF"/>
          <w:lang w:val="en-US" w:eastAsia="zh-CN"/>
        </w:rPr>
        <w:t>行政</w:t>
      </w:r>
      <w:r>
        <w:rPr>
          <w:rFonts w:hint="eastAsia" w:ascii="仿宋_GB2312" w:hAnsi="仿宋_GB2312" w:eastAsia="仿宋_GB2312" w:cs="仿宋_GB2312"/>
          <w:color w:val="000000"/>
          <w:sz w:val="32"/>
          <w:szCs w:val="32"/>
          <w:highlight w:val="none"/>
          <w:shd w:val="clear" w:color="auto" w:fill="FFFFFF"/>
          <w:lang w:val="zh-CN" w:eastAsia="zh-CN"/>
        </w:rPr>
        <w:t>执法大队</w:t>
      </w:r>
      <w:r>
        <w:rPr>
          <w:rFonts w:hint="eastAsia" w:ascii="仿宋_GB2312" w:hAnsi="仿宋_GB2312" w:eastAsia="仿宋_GB2312" w:cs="仿宋_GB2312"/>
          <w:color w:val="000000"/>
          <w:sz w:val="32"/>
          <w:szCs w:val="32"/>
          <w:highlight w:val="none"/>
          <w:shd w:val="clear" w:color="auto" w:fill="FFFFFF"/>
          <w:lang w:val="en-US" w:eastAsia="zh-CN"/>
        </w:rPr>
        <w:t>只有本级，没有其他二级预算单位，因此，纳入2024年部门预算编制范围的只有</w:t>
      </w:r>
      <w:r>
        <w:rPr>
          <w:rFonts w:hint="eastAsia" w:ascii="仿宋" w:hAnsi="仿宋" w:eastAsia="仿宋" w:cs="仿宋"/>
          <w:sz w:val="30"/>
          <w:szCs w:val="30"/>
          <w:highlight w:val="none"/>
          <w:lang w:val="zh-CN"/>
        </w:rPr>
        <w:t>岳</w:t>
      </w:r>
      <w:r>
        <w:rPr>
          <w:rFonts w:hint="eastAsia" w:ascii="仿宋_GB2312" w:hAnsi="仿宋_GB2312" w:eastAsia="仿宋_GB2312" w:cs="仿宋_GB2312"/>
          <w:color w:val="000000"/>
          <w:sz w:val="32"/>
          <w:szCs w:val="32"/>
          <w:highlight w:val="none"/>
          <w:shd w:val="clear" w:color="auto" w:fill="FFFFFF"/>
          <w:lang w:val="zh-CN" w:eastAsia="zh-CN"/>
        </w:rPr>
        <w:t>阳市君山区城市管理综合</w:t>
      </w:r>
      <w:r>
        <w:rPr>
          <w:rFonts w:hint="eastAsia" w:ascii="仿宋_GB2312" w:hAnsi="仿宋_GB2312" w:eastAsia="仿宋_GB2312" w:cs="仿宋_GB2312"/>
          <w:color w:val="000000"/>
          <w:sz w:val="32"/>
          <w:szCs w:val="32"/>
          <w:highlight w:val="none"/>
          <w:shd w:val="clear" w:color="auto" w:fill="FFFFFF"/>
          <w:lang w:val="en-US" w:eastAsia="zh-CN"/>
        </w:rPr>
        <w:t>行政</w:t>
      </w:r>
      <w:r>
        <w:rPr>
          <w:rFonts w:hint="eastAsia" w:ascii="仿宋_GB2312" w:hAnsi="仿宋_GB2312" w:eastAsia="仿宋_GB2312" w:cs="仿宋_GB2312"/>
          <w:color w:val="000000"/>
          <w:sz w:val="32"/>
          <w:szCs w:val="32"/>
          <w:highlight w:val="none"/>
          <w:shd w:val="clear" w:color="auto" w:fill="FFFFFF"/>
          <w:lang w:val="zh-CN" w:eastAsia="zh-CN"/>
        </w:rPr>
        <w:t>执法大队</w:t>
      </w:r>
      <w:r>
        <w:rPr>
          <w:rFonts w:hint="eastAsia" w:ascii="仿宋_GB2312" w:hAnsi="仿宋_GB2312" w:eastAsia="仿宋_GB2312" w:cs="仿宋_GB2312"/>
          <w:color w:val="000000"/>
          <w:sz w:val="32"/>
          <w:szCs w:val="32"/>
          <w:highlight w:val="none"/>
          <w:shd w:val="clear" w:color="auto" w:fill="FFFFFF"/>
          <w:lang w:val="en-US" w:eastAsia="zh-CN"/>
        </w:rPr>
        <w:t>本级。</w:t>
      </w:r>
      <w:bookmarkEnd w:id="0"/>
    </w:p>
    <w:p>
      <w:pPr>
        <w:ind w:firstLine="643" w:firstLineChars="200"/>
        <w:rPr>
          <w:rFonts w:hint="eastAsia" w:ascii="Times New Roman" w:hAnsi="Times New Roman" w:eastAsia="黑体" w:cs="Times New Roman"/>
          <w:b/>
          <w:bCs/>
          <w:kern w:val="0"/>
          <w:sz w:val="32"/>
          <w:szCs w:val="32"/>
          <w:highlight w:val="none"/>
          <w:lang w:val="en-US" w:eastAsia="zh-CN"/>
        </w:rPr>
      </w:pPr>
      <w:r>
        <w:rPr>
          <w:rFonts w:hint="eastAsia" w:ascii="Times New Roman" w:hAnsi="Times New Roman" w:eastAsia="黑体" w:cs="Times New Roman"/>
          <w:b/>
          <w:bCs/>
          <w:kern w:val="0"/>
          <w:sz w:val="32"/>
          <w:szCs w:val="32"/>
          <w:highlight w:val="none"/>
          <w:lang w:val="en-US" w:eastAsia="zh-CN"/>
        </w:rPr>
        <w:t>三、部门收支总体情况</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本单位2024年没有政府性基金预算拨款、国有资本经营预算收入和纳入专户管理的非税收入拨款收入，也没有使用政府性基金预算拨款、国有资本经营预算收入和纳入专户管理的非税收入拨款安排的支出，所以部门预算公开表15、16、17、18、19表均为空。</w:t>
      </w:r>
    </w:p>
    <w:p>
      <w:pPr>
        <w:numPr>
          <w:ilvl w:val="0"/>
          <w:numId w:val="1"/>
        </w:numPr>
        <w:spacing w:line="570" w:lineRule="atLeast"/>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收入预算：</w:t>
      </w:r>
      <w:r>
        <w:rPr>
          <w:rFonts w:hint="eastAsia" w:ascii="仿宋_GB2312" w:hAnsi="仿宋_GB2312" w:eastAsia="仿宋_GB2312" w:cs="仿宋_GB2312"/>
          <w:color w:val="000000"/>
          <w:sz w:val="32"/>
          <w:szCs w:val="32"/>
          <w:highlight w:val="none"/>
          <w:shd w:val="clear" w:color="auto" w:fill="FFFFFF"/>
          <w:lang w:val="en-US" w:eastAsia="zh-CN"/>
        </w:rPr>
        <w:t>包括一般公共预算、政府性基金、国有资本经营预算等财政拨款收入，以及经营收入、事业收入等单位资金。2024年本单位收入预算581.29万元，其中，一般公共预算拨款581.29万元，政府性基金预算资金0.00万元(所以部门预算公开表15-17表为空)，国有资本经营预算资金0.00万元(所以部门预算公开表18表为空)，财政专户管理资金0.00万元(所以部门预算公开表19表为空)，上级补助收入资金0.00万元，事业单位经营收入资金0.00万元，上年结转结余0.00万元。收入较上年增加85.6万元，上升17%。主要原因是增加防水排涝应急项目10万元、协管员经费92.3万元。减少城管制服经费0.7万元、业务工作经费10万元、人员经费6万元。</w:t>
      </w:r>
    </w:p>
    <w:p>
      <w:pPr>
        <w:pStyle w:val="4"/>
        <w:numPr>
          <w:ilvl w:val="0"/>
          <w:numId w:val="0"/>
        </w:numPr>
        <w:rPr>
          <w:rFonts w:hint="eastAsia"/>
          <w:highlight w:val="none"/>
          <w:lang w:val="en-US" w:eastAsia="zh-CN"/>
        </w:rPr>
      </w:pPr>
      <w:r>
        <w:rPr>
          <w:highlight w:val="none"/>
        </w:rPr>
        <w:drawing>
          <wp:inline distT="0" distB="0" distL="114300" distR="114300">
            <wp:extent cx="4886325" cy="2667000"/>
            <wp:effectExtent l="6350" t="6350" r="22225" b="1270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pStyle w:val="4"/>
        <w:numPr>
          <w:ilvl w:val="0"/>
          <w:numId w:val="0"/>
        </w:numPr>
        <w:rPr>
          <w:rFonts w:hint="eastAsia"/>
          <w:highlight w:val="none"/>
          <w:lang w:val="en-US" w:eastAsia="zh-CN"/>
        </w:rPr>
      </w:pPr>
    </w:p>
    <w:p>
      <w:pPr>
        <w:numPr>
          <w:ilvl w:val="0"/>
          <w:numId w:val="1"/>
        </w:numPr>
        <w:spacing w:line="570" w:lineRule="atLeast"/>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支出预算：</w:t>
      </w:r>
      <w:r>
        <w:rPr>
          <w:rFonts w:hint="eastAsia" w:ascii="仿宋_GB2312" w:hAnsi="仿宋_GB2312" w:eastAsia="仿宋_GB2312" w:cs="仿宋_GB2312"/>
          <w:color w:val="000000"/>
          <w:sz w:val="32"/>
          <w:szCs w:val="32"/>
          <w:highlight w:val="none"/>
          <w:shd w:val="clear" w:color="auto" w:fill="FFFFFF"/>
          <w:lang w:val="en-US" w:eastAsia="zh-CN"/>
        </w:rPr>
        <w:t>2024年本单位支出预算581.29万元，其中：城乡社区支出519.08万元，社会保障和就业支出32.96万元，卫生健康支出11.1万元，住房保障支出18.15万元。支出较上年增加85.6万元，上升17%。主要原因是增加防水排涝应急项目10万元、协管员经费92.3万元。减少城管制服经费0.7万元、业务工作经费10万元、人员经费6万元。</w:t>
      </w:r>
    </w:p>
    <w:p>
      <w:pPr>
        <w:pStyle w:val="4"/>
        <w:numPr>
          <w:ilvl w:val="0"/>
          <w:numId w:val="0"/>
        </w:numPr>
        <w:rPr>
          <w:rFonts w:hint="eastAsia"/>
          <w:highlight w:val="none"/>
          <w:lang w:val="en-US" w:eastAsia="zh-CN"/>
        </w:rPr>
      </w:pPr>
      <w:r>
        <w:rPr>
          <w:rFonts w:hint="eastAsia"/>
          <w:lang w:val="en-US" w:eastAsia="zh-CN"/>
        </w:rPr>
        <w:t xml:space="preserve">     </w:t>
      </w:r>
      <w:r>
        <w:drawing>
          <wp:inline distT="0" distB="0" distL="114300" distR="114300">
            <wp:extent cx="4596765" cy="3001010"/>
            <wp:effectExtent l="4445" t="4445" r="8890" b="23495"/>
            <wp:docPr id="2" name="图表 1" descr="7b0a202020202263686172745265734964223a20223230343735353931220a7d0a"/>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ind w:firstLine="643" w:firstLineChars="200"/>
        <w:rPr>
          <w:rFonts w:hint="eastAsia" w:ascii="Times New Roman" w:hAnsi="Times New Roman" w:eastAsia="黑体" w:cs="Times New Roman"/>
          <w:b/>
          <w:bCs/>
          <w:kern w:val="0"/>
          <w:sz w:val="32"/>
          <w:szCs w:val="32"/>
          <w:highlight w:val="none"/>
          <w:lang w:val="en-US" w:eastAsia="zh-CN"/>
        </w:rPr>
      </w:pPr>
      <w:r>
        <w:rPr>
          <w:rFonts w:hint="eastAsia" w:ascii="Times New Roman" w:hAnsi="Times New Roman" w:eastAsia="黑体" w:cs="Times New Roman"/>
          <w:b/>
          <w:bCs/>
          <w:kern w:val="0"/>
          <w:sz w:val="32"/>
          <w:szCs w:val="32"/>
          <w:highlight w:val="none"/>
          <w:lang w:val="en-US" w:eastAsia="zh-CN"/>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2024年本单位一般公共预算拨款支出581.29万元，其中：社会保障和就业支出32.96万元，占5.67%；城乡社区支出519.08万元，占89.3%；卫生健康支出11.1万元，占1.91%；住房保障支出18.15万元，占3.12%。具体安排情况如下：</w:t>
      </w:r>
    </w:p>
    <w:p>
      <w:pPr>
        <w:spacing w:line="570" w:lineRule="atLeast"/>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（一）基本支出：</w:t>
      </w:r>
      <w:r>
        <w:rPr>
          <w:rFonts w:hint="eastAsia" w:ascii="仿宋_GB2312" w:hAnsi="仿宋_GB2312" w:eastAsia="仿宋_GB2312" w:cs="仿宋_GB2312"/>
          <w:color w:val="000000"/>
          <w:sz w:val="32"/>
          <w:szCs w:val="32"/>
          <w:highlight w:val="none"/>
          <w:shd w:val="clear" w:color="auto" w:fill="FFFFFF"/>
          <w:lang w:val="en-US" w:eastAsia="zh-CN"/>
        </w:rPr>
        <w:t>2024年本单位基本支出预算数243.99万元，主要是为保障单位正常运转、完成日常工作任务而发生的各项支出，包括用于基本工资、津贴补贴等人员经费以及办公费、印刷费、水电费、办公设备购置等公用经费。</w:t>
      </w:r>
    </w:p>
    <w:p>
      <w:pPr>
        <w:spacing w:line="570" w:lineRule="atLeast"/>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（二）项目支出：</w:t>
      </w:r>
      <w:r>
        <w:rPr>
          <w:rFonts w:hint="eastAsia" w:ascii="仿宋_GB2312" w:hAnsi="仿宋_GB2312" w:eastAsia="仿宋_GB2312" w:cs="仿宋_GB2312"/>
          <w:color w:val="000000"/>
          <w:sz w:val="32"/>
          <w:szCs w:val="32"/>
          <w:highlight w:val="none"/>
          <w:shd w:val="clear" w:color="auto" w:fill="FFFFFF"/>
          <w:lang w:val="en-US" w:eastAsia="zh-CN"/>
        </w:rPr>
        <w:t>2024年本单位项目支出预算337.3万元，主要是本单位为完成特定工作任务或事业发展目标而发生的支出，包括业务工作经费、城管专项经费支出等，其中：城乡社区支出337.3万元，主要用于</w:t>
      </w:r>
      <w:r>
        <w:rPr>
          <w:rFonts w:hint="eastAsia" w:eastAsia="仿宋_GB2312"/>
          <w:color w:val="auto"/>
          <w:sz w:val="32"/>
          <w:szCs w:val="32"/>
          <w:highlight w:val="none"/>
          <w:lang w:val="en-US" w:eastAsia="zh-CN"/>
        </w:rPr>
        <w:t>协管人员经费、智慧城管经费、防水排涝、禁炮工作及文明创建等突发应急项目支出</w:t>
      </w:r>
      <w:r>
        <w:rPr>
          <w:rFonts w:hint="eastAsia" w:ascii="仿宋_GB2312" w:hAnsi="仿宋_GB2312" w:eastAsia="仿宋_GB2312" w:cs="仿宋_GB2312"/>
          <w:color w:val="000000"/>
          <w:sz w:val="32"/>
          <w:szCs w:val="32"/>
          <w:highlight w:val="none"/>
          <w:shd w:val="clear" w:color="auto" w:fill="FFFFFF"/>
          <w:lang w:val="en-US" w:eastAsia="zh-CN"/>
        </w:rPr>
        <w:t>。</w:t>
      </w:r>
    </w:p>
    <w:p>
      <w:pPr>
        <w:ind w:firstLine="643" w:firstLineChars="200"/>
        <w:rPr>
          <w:rFonts w:hint="eastAsia" w:asciiTheme="minorEastAsia" w:hAnsiTheme="minorEastAsia" w:eastAsiaTheme="minorEastAsia" w:cstheme="minorEastAsia"/>
          <w:b/>
          <w:bCs/>
          <w:sz w:val="28"/>
          <w:szCs w:val="28"/>
          <w:highlight w:val="none"/>
        </w:rPr>
      </w:pPr>
      <w:r>
        <w:rPr>
          <w:rFonts w:hint="eastAsia" w:ascii="Times New Roman" w:hAnsi="Times New Roman" w:eastAsia="黑体" w:cs="Times New Roman"/>
          <w:b/>
          <w:bCs/>
          <w:kern w:val="0"/>
          <w:sz w:val="32"/>
          <w:szCs w:val="32"/>
          <w:highlight w:val="none"/>
          <w:lang w:val="en-US" w:eastAsia="zh-CN"/>
        </w:rPr>
        <w:t>五、政府性基金预算支出</w:t>
      </w:r>
    </w:p>
    <w:p>
      <w:pPr>
        <w:ind w:firstLine="640" w:firstLineChars="200"/>
        <w:rPr>
          <w:rFonts w:hint="eastAsia" w:asciiTheme="minorEastAsia" w:hAnsiTheme="minorEastAsia" w:eastAsiaTheme="minorEastAsia" w:cstheme="minorEastAsia"/>
          <w:i w:val="0"/>
          <w:iCs w:val="0"/>
          <w:caps w:val="0"/>
          <w:color w:val="333333"/>
          <w:spacing w:val="0"/>
          <w:sz w:val="28"/>
          <w:szCs w:val="28"/>
          <w:highlight w:val="none"/>
          <w:shd w:val="clear" w:fill="FFFFFF"/>
        </w:rPr>
      </w:pPr>
      <w:r>
        <w:rPr>
          <w:rFonts w:hint="eastAsia" w:ascii="仿宋_GB2312" w:hAnsi="仿宋_GB2312" w:eastAsia="仿宋_GB2312" w:cs="仿宋_GB2312"/>
          <w:color w:val="000000"/>
          <w:sz w:val="32"/>
          <w:szCs w:val="32"/>
          <w:highlight w:val="none"/>
          <w:shd w:val="clear" w:color="auto" w:fill="FFFFFF"/>
          <w:lang w:val="en-US" w:eastAsia="zh-CN"/>
        </w:rPr>
        <w:t>2024年度本单位无政府性基金安排的支出，所以公开的附件15-17（政府性基金预算）为空。</w:t>
      </w:r>
    </w:p>
    <w:p>
      <w:pPr>
        <w:ind w:firstLine="643" w:firstLineChars="200"/>
        <w:rPr>
          <w:rFonts w:hint="eastAsia" w:asciiTheme="minorEastAsia" w:hAnsiTheme="minorEastAsia" w:eastAsiaTheme="minorEastAsia" w:cstheme="minorEastAsia"/>
          <w:b/>
          <w:bCs/>
          <w:sz w:val="28"/>
          <w:szCs w:val="28"/>
          <w:highlight w:val="none"/>
        </w:rPr>
      </w:pPr>
      <w:r>
        <w:rPr>
          <w:rFonts w:hint="eastAsia" w:ascii="Times New Roman" w:hAnsi="Times New Roman" w:eastAsia="黑体" w:cs="Times New Roman"/>
          <w:b/>
          <w:bCs/>
          <w:kern w:val="0"/>
          <w:sz w:val="32"/>
          <w:szCs w:val="32"/>
          <w:highlight w:val="none"/>
          <w:lang w:val="en-US" w:eastAsia="zh-CN"/>
        </w:rPr>
        <w:t>六、其他重要事项的情况说明</w:t>
      </w:r>
    </w:p>
    <w:p>
      <w:pPr>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（一）机关运行经费：</w:t>
      </w:r>
      <w:r>
        <w:rPr>
          <w:rFonts w:hint="eastAsia" w:ascii="仿宋_GB2312" w:hAnsi="仿宋_GB2312" w:eastAsia="仿宋_GB2312" w:cs="仿宋_GB2312"/>
          <w:color w:val="000000"/>
          <w:sz w:val="32"/>
          <w:szCs w:val="32"/>
          <w:highlight w:val="none"/>
          <w:shd w:val="clear" w:color="auto" w:fill="FFFFFF"/>
          <w:lang w:val="en-US" w:eastAsia="zh-CN"/>
        </w:rPr>
        <w:t>2024年岳阳市君山区城市管理综合行政执法大队机关运行经费30.54万元，比上年预算下降14%。主要原因是</w:t>
      </w:r>
      <w:r>
        <w:rPr>
          <w:rFonts w:hint="eastAsia" w:ascii="Times New Roman" w:hAnsi="Times New Roman" w:eastAsia="仿宋_GB2312" w:cs="Times New Roman"/>
          <w:color w:val="auto"/>
          <w:sz w:val="32"/>
          <w:szCs w:val="32"/>
          <w:highlight w:val="none"/>
          <w:lang w:val="en-US" w:eastAsia="zh-CN"/>
        </w:rPr>
        <w:t>人员变动</w:t>
      </w:r>
      <w:r>
        <w:rPr>
          <w:rFonts w:hint="eastAsia" w:ascii="仿宋_GB2312" w:hAnsi="仿宋_GB2312" w:eastAsia="仿宋_GB2312" w:cs="仿宋_GB2312"/>
          <w:color w:val="000000"/>
          <w:sz w:val="32"/>
          <w:szCs w:val="32"/>
          <w:highlight w:val="none"/>
          <w:shd w:val="clear" w:color="auto" w:fill="FFFFFF"/>
          <w:lang w:val="en-US" w:eastAsia="zh-CN"/>
        </w:rPr>
        <w:t>造成公用经费预算减少。</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20" w:firstLineChars="193"/>
        <w:textAlignment w:val="auto"/>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（二）“三公”经费预算：</w:t>
      </w:r>
      <w:r>
        <w:rPr>
          <w:rFonts w:hint="eastAsia" w:ascii="仿宋_GB2312" w:hAnsi="仿宋_GB2312" w:eastAsia="仿宋_GB2312" w:cs="仿宋_GB2312"/>
          <w:color w:val="000000"/>
          <w:sz w:val="32"/>
          <w:szCs w:val="32"/>
          <w:highlight w:val="none"/>
          <w:shd w:val="clear" w:color="auto" w:fill="FFFFFF"/>
          <w:lang w:val="en-US" w:eastAsia="zh-CN"/>
        </w:rPr>
        <w:t>2024年本单位“三公”经费预算数为0万元，其中，公务接待费0万元，公务用车购置及运行费0万元（其中，公务用车购置费0万元，公务用车运行费0万元），因公出国（境）费0万元。2024年“三公”经费预算较2023年增加（或减少）0万元，主要原因是主要是严格落实中央“八项规定”精神和“过紧日子”的要求，从严控制“三公”经费支出。</w:t>
      </w:r>
      <w:bookmarkStart w:id="1" w:name="DIS_MARK_IS_ZERO_06_2"/>
      <w:bookmarkEnd w:id="1"/>
      <w:bookmarkStart w:id="2" w:name="END_IS_ZERO_06_2"/>
      <w:bookmarkEnd w:id="2"/>
      <w:bookmarkStart w:id="3" w:name="START_IS_ZERO_06_2"/>
      <w:bookmarkEnd w:id="3"/>
      <w:bookmarkStart w:id="4" w:name="END_IS_ZERO_06_1"/>
      <w:bookmarkEnd w:id="4"/>
      <w:r>
        <w:rPr>
          <w:rFonts w:hint="eastAsia" w:ascii="仿宋" w:hAnsi="仿宋" w:eastAsia="仿宋" w:cs="仿宋"/>
          <w:color w:val="auto"/>
          <w:kern w:val="0"/>
          <w:sz w:val="30"/>
          <w:szCs w:val="30"/>
          <w:highlight w:val="none"/>
          <w:lang w:eastAsia="zh-CN"/>
        </w:rPr>
        <w:t>（</w:t>
      </w:r>
      <w:r>
        <w:rPr>
          <w:rFonts w:hint="eastAsia" w:ascii="仿宋" w:hAnsi="仿宋" w:eastAsia="仿宋" w:cs="仿宋"/>
          <w:color w:val="auto"/>
          <w:kern w:val="0"/>
          <w:sz w:val="30"/>
          <w:szCs w:val="30"/>
          <w:highlight w:val="none"/>
          <w:lang w:val="en-US" w:eastAsia="zh-CN"/>
        </w:rPr>
        <w:t>注：本单位的专用车辆运行费用记入运行成本）</w:t>
      </w:r>
    </w:p>
    <w:p>
      <w:pPr>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（三）一般性支出情况：</w:t>
      </w:r>
      <w:r>
        <w:rPr>
          <w:rFonts w:hint="eastAsia" w:ascii="仿宋_GB2312" w:hAnsi="仿宋_GB2312" w:eastAsia="仿宋_GB2312" w:cs="仿宋_GB2312"/>
          <w:color w:val="000000"/>
          <w:sz w:val="32"/>
          <w:szCs w:val="32"/>
          <w:highlight w:val="none"/>
          <w:shd w:val="clear" w:color="auto" w:fill="FFFFFF"/>
          <w:lang w:val="en-US" w:eastAsia="zh-CN"/>
        </w:rPr>
        <w:t>2024年本单位会议费预算0万元，拟召开等0次会议，人数0人；培训费预算0万元，拟开展等0次培训，人数0人；</w:t>
      </w:r>
      <w:r>
        <w:rPr>
          <w:rFonts w:hint="eastAsia" w:ascii="仿宋_GB2312" w:hAnsi="仿宋_GB2312" w:eastAsia="仿宋_GB2312" w:cs="仿宋_GB2312"/>
          <w:color w:val="000000"/>
          <w:kern w:val="2"/>
          <w:sz w:val="32"/>
          <w:szCs w:val="32"/>
          <w:highlight w:val="none"/>
          <w:shd w:val="clear" w:color="auto" w:fill="FFFFFF"/>
          <w:lang w:val="en-US" w:eastAsia="zh-CN" w:bidi="ar-SA"/>
        </w:rPr>
        <w:t>2024年度本</w:t>
      </w:r>
      <w:r>
        <w:rPr>
          <w:rFonts w:hint="eastAsia" w:ascii="仿宋_GB2312" w:hAnsi="仿宋_GB2312" w:eastAsia="仿宋_GB2312" w:cs="仿宋_GB2312"/>
          <w:color w:val="000000"/>
          <w:kern w:val="2"/>
          <w:sz w:val="36"/>
          <w:szCs w:val="36"/>
          <w:highlight w:val="none"/>
          <w:shd w:val="clear" w:color="auto" w:fill="FFFFFF"/>
          <w:lang w:val="en-US" w:eastAsia="zh-CN" w:bidi="ar-SA"/>
        </w:rPr>
        <w:t>部门</w:t>
      </w:r>
      <w:r>
        <w:rPr>
          <w:rFonts w:hint="eastAsia" w:ascii="仿宋_GB2312" w:hAnsi="仿宋_GB2312" w:eastAsia="仿宋_GB2312" w:cs="仿宋_GB2312"/>
          <w:color w:val="000000"/>
          <w:kern w:val="2"/>
          <w:sz w:val="32"/>
          <w:szCs w:val="32"/>
          <w:highlight w:val="none"/>
          <w:shd w:val="clear" w:color="auto" w:fill="FFFFFF"/>
          <w:lang w:val="en-US" w:eastAsia="zh-CN" w:bidi="ar-SA"/>
        </w:rPr>
        <w:t>未计划举办节庆、晚会、论坛、赛事活动，经费预算0万元。</w:t>
      </w:r>
    </w:p>
    <w:p>
      <w:pPr>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（四）政府采购情况：</w:t>
      </w:r>
      <w:r>
        <w:rPr>
          <w:rFonts w:hint="eastAsia" w:ascii="仿宋_GB2312" w:hAnsi="仿宋_GB2312" w:eastAsia="仿宋_GB2312" w:cs="仿宋_GB2312"/>
          <w:color w:val="000000"/>
          <w:sz w:val="32"/>
          <w:szCs w:val="32"/>
          <w:highlight w:val="none"/>
          <w:shd w:val="clear" w:color="auto" w:fill="FFFFFF"/>
          <w:lang w:val="en-US" w:eastAsia="zh-CN"/>
        </w:rPr>
        <w:t>2024年本单位政府采购预算总额82.3万元，其中，货物类采购预算20.3万元；工程类采购预算0万元；服务类采购预算62万元。</w:t>
      </w:r>
    </w:p>
    <w:p>
      <w:pPr>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（五）国有资产占用使用及新增资产配置情况：</w:t>
      </w:r>
      <w:r>
        <w:rPr>
          <w:rFonts w:hint="eastAsia" w:ascii="仿宋_GB2312" w:hAnsi="仿宋_GB2312" w:eastAsia="仿宋_GB2312" w:cs="仿宋_GB2312"/>
          <w:color w:val="000000"/>
          <w:sz w:val="32"/>
          <w:szCs w:val="32"/>
          <w:highlight w:val="none"/>
          <w:shd w:val="clear" w:color="auto" w:fill="FFFFFF"/>
          <w:lang w:val="en-US" w:eastAsia="zh-CN"/>
        </w:rPr>
        <w:t>截至2023年12月底，本单位共有公务用车4辆</w:t>
      </w:r>
      <w:r>
        <w:rPr>
          <w:rFonts w:hint="eastAsia" w:eastAsia="仿宋_GB2312"/>
          <w:bCs/>
          <w:color w:val="auto"/>
          <w:kern w:val="0"/>
          <w:sz w:val="32"/>
          <w:szCs w:val="32"/>
          <w:highlight w:val="none"/>
          <w:lang w:eastAsia="zh-CN"/>
        </w:rPr>
        <w:t>（</w:t>
      </w:r>
      <w:r>
        <w:rPr>
          <w:rFonts w:hint="eastAsia" w:eastAsia="仿宋_GB2312"/>
          <w:bCs/>
          <w:color w:val="auto"/>
          <w:kern w:val="0"/>
          <w:sz w:val="32"/>
          <w:szCs w:val="32"/>
          <w:highlight w:val="none"/>
          <w:lang w:val="en-US" w:eastAsia="zh-CN"/>
        </w:rPr>
        <w:t>其中2台为借用车辆）</w:t>
      </w:r>
      <w:r>
        <w:rPr>
          <w:rFonts w:hint="eastAsia" w:ascii="仿宋_GB2312" w:hAnsi="仿宋_GB2312" w:eastAsia="仿宋_GB2312" w:cs="仿宋_GB2312"/>
          <w:color w:val="000000"/>
          <w:sz w:val="32"/>
          <w:szCs w:val="32"/>
          <w:highlight w:val="none"/>
          <w:shd w:val="clear" w:color="auto" w:fill="FFFFFF"/>
          <w:lang w:val="en-US" w:eastAsia="zh-CN"/>
        </w:rPr>
        <w:t>，其中，机要通信用车0辆，应急保障用车0辆，执法执勤用车4辆，特种专业技术用车0辆，其他按照规定配备的公务用车0辆；单位价值50万元以上设备0台，其中，单位价值100万元以上设备0台。</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2024年拟新增配置公务用车0辆，其中，机要通信用车0辆，应急保障用车0辆，执法执勤用车0辆，特种专业技术用车0辆，其他按照规定配备的公务用车0辆；新增配备单位价值50万元以上设备0台，其中，单位价值100万元以上设备0台。</w:t>
      </w:r>
    </w:p>
    <w:p>
      <w:pPr>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（六）预算绩效目标说明：</w:t>
      </w:r>
      <w:r>
        <w:rPr>
          <w:rFonts w:hint="eastAsia" w:ascii="仿宋_GB2312" w:hAnsi="仿宋_GB2312" w:eastAsia="仿宋_GB2312" w:cs="仿宋_GB2312"/>
          <w:color w:val="000000"/>
          <w:sz w:val="32"/>
          <w:szCs w:val="32"/>
          <w:highlight w:val="none"/>
          <w:shd w:val="clear" w:color="auto" w:fill="FFFFFF"/>
          <w:lang w:val="en-US" w:eastAsia="zh-CN"/>
        </w:rPr>
        <w:t>本单位所有支出实行绩效目标管理。纳入2024年单位整体支出绩效目标的金额为581.29万元，其中，基本支出243.99万元，项目支出337.3万元，具体绩效目标详见文尾附表中部门预算公开表21-22表。</w:t>
      </w:r>
    </w:p>
    <w:p>
      <w:pPr>
        <w:ind w:firstLine="643" w:firstLineChars="200"/>
        <w:rPr>
          <w:rFonts w:hint="eastAsia" w:ascii="Times New Roman" w:hAnsi="Times New Roman" w:eastAsia="黑体" w:cs="Times New Roman"/>
          <w:b/>
          <w:bCs/>
          <w:kern w:val="0"/>
          <w:sz w:val="32"/>
          <w:szCs w:val="32"/>
          <w:highlight w:val="none"/>
          <w:lang w:val="en-US" w:eastAsia="zh-CN"/>
        </w:rPr>
      </w:pPr>
      <w:r>
        <w:rPr>
          <w:rFonts w:hint="eastAsia" w:ascii="Times New Roman" w:hAnsi="Times New Roman" w:eastAsia="黑体" w:cs="Times New Roman"/>
          <w:b/>
          <w:bCs/>
          <w:kern w:val="0"/>
          <w:sz w:val="32"/>
          <w:szCs w:val="32"/>
          <w:highlight w:val="none"/>
          <w:lang w:val="en-US" w:eastAsia="zh-CN"/>
        </w:rPr>
        <w:t>七、名词解释</w:t>
      </w:r>
    </w:p>
    <w:p>
      <w:pPr>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1．机关运行经费：</w:t>
      </w:r>
      <w:r>
        <w:rPr>
          <w:rFonts w:hint="eastAsia" w:ascii="仿宋_GB2312" w:hAnsi="仿宋_GB2312" w:eastAsia="仿宋_GB2312" w:cs="仿宋_GB2312"/>
          <w:color w:val="000000"/>
          <w:sz w:val="32"/>
          <w:szCs w:val="32"/>
          <w:highlight w:val="none"/>
          <w:shd w:val="clear" w:color="auto" w:fill="FFFFFF"/>
          <w:lang w:val="en-US" w:eastAsia="zh-CN"/>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2．“三公”经费：</w:t>
      </w:r>
      <w:r>
        <w:rPr>
          <w:rFonts w:hint="eastAsia" w:ascii="仿宋_GB2312" w:hAnsi="仿宋_GB2312" w:eastAsia="仿宋_GB2312" w:cs="仿宋_GB2312"/>
          <w:color w:val="000000"/>
          <w:sz w:val="32"/>
          <w:szCs w:val="32"/>
          <w:highlight w:val="none"/>
          <w:shd w:val="clear" w:color="auto" w:fill="FFFFFF"/>
          <w:lang w:val="en-US" w:eastAsia="zh-CN"/>
        </w:rPr>
        <w:t>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highlight w:val="none"/>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highlight w:val="none"/>
          <w:lang w:val="en-US" w:eastAsia="zh-CN" w:bidi="ar-SA"/>
        </w:rPr>
      </w:pPr>
      <w:bookmarkStart w:id="5" w:name="_GoBack"/>
      <w:bookmarkEnd w:id="5"/>
      <w:r>
        <w:rPr>
          <w:rFonts w:hint="eastAsia" w:ascii="方正小标宋简体" w:hAnsi="Times New Roman" w:eastAsia="方正小标宋简体" w:cs="Times New Roman"/>
          <w:b/>
          <w:bCs/>
          <w:kern w:val="0"/>
          <w:sz w:val="36"/>
          <w:szCs w:val="36"/>
          <w:highlight w:val="none"/>
          <w:lang w:val="en-US" w:eastAsia="zh-CN" w:bidi="ar-SA"/>
        </w:rPr>
        <w:t>第二部分  2024年部门预算公开表格</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1、收支总表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2、收入总表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3、支出总表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4、支出预算分类汇总表（按政府预算经济分类）</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5、支出预算分类汇总表（按部门预算经济分类）</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6、财政拨款收支总表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7、一般公共预算支出表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8、一般公共预算基本支出表-人员经费（工资福利支出）（按政府预算经济分类）</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9、一般公共预算基本支出表-人员经费（工资福利支出）（按部门预算经济分类）</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10、一般公共预算基本支出表-人员经费（对个人和家庭的补助）（按政府预算经济分类）</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11、一般公共预算基本支出表-人员经费（对个人和家庭的补助）（按部门预算经济分类）</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12、一般公共预算基本支出表-公用经费（商品和服务支出）（按政府预算经济分类）</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13、一般公共预算基本支出表-公用经费（商品和服务支出）（按部门预算经济分类）</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14、一般公共预算“三公”经费支出表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15、政府性基金预算支出表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16、政府性基金预算支出分类汇总表（按政府预算经济分类）</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17、政府性基金预算支出分类汇总表（按部门预算经济分类）</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18、国有资本经营预算支出表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19、财政专户管理资金预算支出表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20、专项资金预算汇总表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21、项目支出绩效目标表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22、部门整体支出绩效目标表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23、一般公共预算基本支出表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注：以上部门预算公开报表中，空表表示本单位无相关收支情况。</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p>
    <w:p>
      <w:pPr>
        <w:ind w:firstLine="643"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附件：岳阳市君山区城市管理综合行政执法大队2024年部门预算公开表</w:t>
      </w:r>
    </w:p>
    <w:p>
      <w:pPr>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仿宋_GB2312"/>
    <w:panose1 w:val="02010601030101010101"/>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7CC3CBB"/>
    <w:multiLevelType w:val="singleLevel"/>
    <w:tmpl w:val="57CC3CBB"/>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0MzkxYTllNGUzYWMwZmMyNjFiNTViYzNiYzdlYTAifQ=="/>
  </w:docVars>
  <w:rsids>
    <w:rsidRoot w:val="637274E6"/>
    <w:rsid w:val="005D2854"/>
    <w:rsid w:val="01B4263C"/>
    <w:rsid w:val="01EC3E90"/>
    <w:rsid w:val="02140C7A"/>
    <w:rsid w:val="02783976"/>
    <w:rsid w:val="03065425"/>
    <w:rsid w:val="033124A2"/>
    <w:rsid w:val="041F054D"/>
    <w:rsid w:val="046523F8"/>
    <w:rsid w:val="05663F59"/>
    <w:rsid w:val="06CB75FC"/>
    <w:rsid w:val="088363E7"/>
    <w:rsid w:val="08E003AE"/>
    <w:rsid w:val="099C2797"/>
    <w:rsid w:val="0A3E672D"/>
    <w:rsid w:val="0A9B3772"/>
    <w:rsid w:val="0AD8381E"/>
    <w:rsid w:val="0AF618DB"/>
    <w:rsid w:val="0B172D74"/>
    <w:rsid w:val="0B5218A1"/>
    <w:rsid w:val="0B653E82"/>
    <w:rsid w:val="0CA710DF"/>
    <w:rsid w:val="0CFE4E45"/>
    <w:rsid w:val="0DEB76F2"/>
    <w:rsid w:val="0E042561"/>
    <w:rsid w:val="0EF90000"/>
    <w:rsid w:val="0F2A3A2C"/>
    <w:rsid w:val="0F5F0397"/>
    <w:rsid w:val="0FC608DB"/>
    <w:rsid w:val="10392996"/>
    <w:rsid w:val="10725EA8"/>
    <w:rsid w:val="10797237"/>
    <w:rsid w:val="11435D86"/>
    <w:rsid w:val="136E6DFB"/>
    <w:rsid w:val="14A8633C"/>
    <w:rsid w:val="15804BC3"/>
    <w:rsid w:val="16042156"/>
    <w:rsid w:val="16247C45"/>
    <w:rsid w:val="167C1082"/>
    <w:rsid w:val="16E922E1"/>
    <w:rsid w:val="16EC4928"/>
    <w:rsid w:val="18754787"/>
    <w:rsid w:val="192632E6"/>
    <w:rsid w:val="19F47986"/>
    <w:rsid w:val="1AB53561"/>
    <w:rsid w:val="1B6F1962"/>
    <w:rsid w:val="1BB943D0"/>
    <w:rsid w:val="1C1865F6"/>
    <w:rsid w:val="1C220782"/>
    <w:rsid w:val="1C744CBF"/>
    <w:rsid w:val="1C914169"/>
    <w:rsid w:val="1CF0262F"/>
    <w:rsid w:val="1CF06AD2"/>
    <w:rsid w:val="1E5E181A"/>
    <w:rsid w:val="1E933BB9"/>
    <w:rsid w:val="1ECA55FD"/>
    <w:rsid w:val="1F572E39"/>
    <w:rsid w:val="1F8154A2"/>
    <w:rsid w:val="1FDC4E26"/>
    <w:rsid w:val="20034AD4"/>
    <w:rsid w:val="20391FBD"/>
    <w:rsid w:val="212136FE"/>
    <w:rsid w:val="212B1985"/>
    <w:rsid w:val="223B07F0"/>
    <w:rsid w:val="22767EB0"/>
    <w:rsid w:val="22861ED8"/>
    <w:rsid w:val="250D7AF6"/>
    <w:rsid w:val="25290DD3"/>
    <w:rsid w:val="25973F8F"/>
    <w:rsid w:val="261F21D6"/>
    <w:rsid w:val="26E34FB2"/>
    <w:rsid w:val="26FD2518"/>
    <w:rsid w:val="2752510C"/>
    <w:rsid w:val="27562CA6"/>
    <w:rsid w:val="2786250D"/>
    <w:rsid w:val="281D62A2"/>
    <w:rsid w:val="286F1B1C"/>
    <w:rsid w:val="28D728F5"/>
    <w:rsid w:val="296C74E1"/>
    <w:rsid w:val="29B64C00"/>
    <w:rsid w:val="2A5727A7"/>
    <w:rsid w:val="2A7D127A"/>
    <w:rsid w:val="2B3247EE"/>
    <w:rsid w:val="2B856638"/>
    <w:rsid w:val="2BD33847"/>
    <w:rsid w:val="2C3E306D"/>
    <w:rsid w:val="2D801837"/>
    <w:rsid w:val="2DC518B5"/>
    <w:rsid w:val="2E9372BE"/>
    <w:rsid w:val="2F587508"/>
    <w:rsid w:val="2FEE50F3"/>
    <w:rsid w:val="30F54535"/>
    <w:rsid w:val="31DD71CE"/>
    <w:rsid w:val="328F1D91"/>
    <w:rsid w:val="333F7A14"/>
    <w:rsid w:val="348F22D5"/>
    <w:rsid w:val="351F56A2"/>
    <w:rsid w:val="36214EDF"/>
    <w:rsid w:val="36B86D05"/>
    <w:rsid w:val="37B07132"/>
    <w:rsid w:val="37BC5AD7"/>
    <w:rsid w:val="395E7E49"/>
    <w:rsid w:val="398C704B"/>
    <w:rsid w:val="39BA7DF4"/>
    <w:rsid w:val="3A0825BD"/>
    <w:rsid w:val="3A486D41"/>
    <w:rsid w:val="3B8E1539"/>
    <w:rsid w:val="3CB10683"/>
    <w:rsid w:val="3D5668B2"/>
    <w:rsid w:val="3DCC1347"/>
    <w:rsid w:val="3E4B1963"/>
    <w:rsid w:val="40731651"/>
    <w:rsid w:val="40BA4B7E"/>
    <w:rsid w:val="42E3660E"/>
    <w:rsid w:val="42ED2FE9"/>
    <w:rsid w:val="45466813"/>
    <w:rsid w:val="45B222C8"/>
    <w:rsid w:val="45B778DE"/>
    <w:rsid w:val="4601059C"/>
    <w:rsid w:val="4602087F"/>
    <w:rsid w:val="46024FFD"/>
    <w:rsid w:val="46A2233C"/>
    <w:rsid w:val="472B0583"/>
    <w:rsid w:val="473236C0"/>
    <w:rsid w:val="4748485A"/>
    <w:rsid w:val="4760647F"/>
    <w:rsid w:val="4783216D"/>
    <w:rsid w:val="48710218"/>
    <w:rsid w:val="49836455"/>
    <w:rsid w:val="4A993A56"/>
    <w:rsid w:val="4AFC64BF"/>
    <w:rsid w:val="4B6B5DFA"/>
    <w:rsid w:val="4BBE358A"/>
    <w:rsid w:val="4BFA4B6D"/>
    <w:rsid w:val="4C6F2CC0"/>
    <w:rsid w:val="4E2D2E33"/>
    <w:rsid w:val="4E514D65"/>
    <w:rsid w:val="4E5A52AA"/>
    <w:rsid w:val="4E8C5DAC"/>
    <w:rsid w:val="4EE728E7"/>
    <w:rsid w:val="4F0307B2"/>
    <w:rsid w:val="4F302902"/>
    <w:rsid w:val="4FF307B5"/>
    <w:rsid w:val="50A13664"/>
    <w:rsid w:val="51A27694"/>
    <w:rsid w:val="52077AEA"/>
    <w:rsid w:val="528943B0"/>
    <w:rsid w:val="53622438"/>
    <w:rsid w:val="53FC752F"/>
    <w:rsid w:val="55760C1C"/>
    <w:rsid w:val="55E76771"/>
    <w:rsid w:val="58AA6296"/>
    <w:rsid w:val="58AF2EC0"/>
    <w:rsid w:val="5A13112F"/>
    <w:rsid w:val="5ADE798F"/>
    <w:rsid w:val="5BA80BCA"/>
    <w:rsid w:val="5BC30933"/>
    <w:rsid w:val="5DC12353"/>
    <w:rsid w:val="5F6359B7"/>
    <w:rsid w:val="5F923139"/>
    <w:rsid w:val="60B42209"/>
    <w:rsid w:val="61FF250F"/>
    <w:rsid w:val="62402031"/>
    <w:rsid w:val="627B3D15"/>
    <w:rsid w:val="637274E6"/>
    <w:rsid w:val="639D5F0D"/>
    <w:rsid w:val="63E65795"/>
    <w:rsid w:val="64357D9A"/>
    <w:rsid w:val="658630FD"/>
    <w:rsid w:val="65B57FA7"/>
    <w:rsid w:val="65B85280"/>
    <w:rsid w:val="66253F78"/>
    <w:rsid w:val="675A13CF"/>
    <w:rsid w:val="682C3048"/>
    <w:rsid w:val="68A93658"/>
    <w:rsid w:val="69717C20"/>
    <w:rsid w:val="6A4B2883"/>
    <w:rsid w:val="6AA67D9D"/>
    <w:rsid w:val="6ADC37BF"/>
    <w:rsid w:val="6B1B73BC"/>
    <w:rsid w:val="6B6E468D"/>
    <w:rsid w:val="6BCC4E26"/>
    <w:rsid w:val="6C156F89"/>
    <w:rsid w:val="6CA16A6E"/>
    <w:rsid w:val="6D1234C8"/>
    <w:rsid w:val="6DD25AD6"/>
    <w:rsid w:val="6DD662A4"/>
    <w:rsid w:val="6E661D1D"/>
    <w:rsid w:val="6F0C1857"/>
    <w:rsid w:val="6F4B168B"/>
    <w:rsid w:val="6FA26D85"/>
    <w:rsid w:val="709C7DE3"/>
    <w:rsid w:val="70F118E0"/>
    <w:rsid w:val="71661896"/>
    <w:rsid w:val="71704C61"/>
    <w:rsid w:val="719F6C19"/>
    <w:rsid w:val="727D5888"/>
    <w:rsid w:val="734939BC"/>
    <w:rsid w:val="73830C7C"/>
    <w:rsid w:val="739509AF"/>
    <w:rsid w:val="75DC28C5"/>
    <w:rsid w:val="76043F97"/>
    <w:rsid w:val="761C7166"/>
    <w:rsid w:val="78CC0C1A"/>
    <w:rsid w:val="794D2552"/>
    <w:rsid w:val="7A170370"/>
    <w:rsid w:val="7A964877"/>
    <w:rsid w:val="7AE949AB"/>
    <w:rsid w:val="7C203139"/>
    <w:rsid w:val="7C376AA7"/>
    <w:rsid w:val="7C653614"/>
    <w:rsid w:val="7D266D66"/>
    <w:rsid w:val="7DA52723"/>
    <w:rsid w:val="7DD57D9B"/>
    <w:rsid w:val="7E7E59CE"/>
    <w:rsid w:val="7ED607F9"/>
    <w:rsid w:val="7F9542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rPr>
      <w:rFonts w:ascii="宋体"/>
      <w:sz w:val="18"/>
      <w:szCs w:val="20"/>
    </w:rPr>
  </w:style>
  <w:style w:type="paragraph" w:styleId="3">
    <w:name w:val="toc 5"/>
    <w:basedOn w:val="1"/>
    <w:next w:val="1"/>
    <w:qFormat/>
    <w:uiPriority w:val="0"/>
    <w:pPr>
      <w:ind w:left="1680" w:leftChars="800"/>
    </w:pPr>
  </w:style>
  <w:style w:type="paragraph" w:styleId="4">
    <w:name w:val="Normal Indent"/>
    <w:basedOn w:val="1"/>
    <w:qFormat/>
    <w:uiPriority w:val="0"/>
    <w:pPr>
      <w:ind w:firstLine="420"/>
    </w:pPr>
    <w:rPr>
      <w:szCs w:val="20"/>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Hyperlink"/>
    <w:basedOn w:val="8"/>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chart" Target="charts/chart2.xml"/><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Book1.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C:\Users\Administrator\Desktop\&#25910;&#20837;&#39044;&#31639;&#2227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t>收入预算图</a:t>
            </a:r>
          </a:p>
        </c:rich>
      </c:tx>
      <c:layout/>
      <c:overlay val="0"/>
    </c:title>
    <c:autoTitleDeleted val="0"/>
    <c:plotArea>
      <c:layout/>
      <c:pieChart>
        <c:varyColors val="1"/>
        <c:ser>
          <c:idx val="0"/>
          <c:order val="0"/>
          <c:explosion val="0"/>
          <c:dPt>
            <c:idx val="0"/>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[Book1.xlsx]Sheet1!$A$6</c:f>
              <c:strCache>
                <c:ptCount val="1"/>
                <c:pt idx="0">
                  <c:v>一般公共预算拨款收入</c:v>
                </c:pt>
              </c:strCache>
            </c:strRef>
          </c:cat>
          <c:val>
            <c:numRef>
              <c:f>[Book1.xlsx]Sheet1!$A$7</c:f>
              <c:numCache>
                <c:formatCode>0%</c:formatCode>
                <c:ptCount val="1"/>
                <c:pt idx="0">
                  <c:v>1</c:v>
                </c:pt>
              </c:numCache>
            </c:numRef>
          </c:val>
        </c:ser>
        <c:dLbls>
          <c:showLegendKey val="0"/>
          <c:showVal val="1"/>
          <c:showCatName val="0"/>
          <c:showSerName val="0"/>
          <c:showPercent val="0"/>
          <c:showBubbleSize val="0"/>
          <c:showLeaderLines val="1"/>
        </c:dLbls>
        <c:firstSliceAng val="0"/>
      </c:pieChart>
    </c:plotArea>
    <c:legend>
      <c:legendPos val="r"/>
      <c:layout>
        <c:manualLayout>
          <c:xMode val="edge"/>
          <c:yMode val="edge"/>
          <c:x val="0.700737532808399"/>
          <c:y val="0.0547878390201225"/>
          <c:w val="0.236068022747157"/>
          <c:h val="0.307090988626422"/>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400" b="1" i="0" u="none" strike="noStrike" kern="1200" baseline="0">
                <a:solidFill>
                  <a:schemeClr val="dk1">
                    <a:lumMod val="75000"/>
                    <a:lumOff val="25000"/>
                  </a:schemeClr>
                </a:solidFill>
                <a:latin typeface="+mn-lt"/>
                <a:ea typeface="+mn-ea"/>
                <a:cs typeface="+mn-cs"/>
              </a:defRPr>
            </a:pPr>
            <a:r>
              <a:t>支出预算图</a:t>
            </a:r>
          </a:p>
        </c:rich>
      </c:tx>
      <c:layout/>
      <c:overlay val="0"/>
      <c:spPr>
        <a:noFill/>
        <a:ln>
          <a:noFill/>
        </a:ln>
        <a:effectLst/>
      </c:spPr>
    </c:title>
    <c:autoTitleDeleted val="0"/>
    <c:view3D>
      <c:rotX val="30"/>
      <c:rotY val="0"/>
      <c:depthPercent val="100"/>
      <c:rAngAx val="0"/>
    </c:view3D>
    <c:floor>
      <c:thickness val="0"/>
      <c:spPr>
        <a:noFill/>
        <a:effectLst/>
      </c:spPr>
    </c:floor>
    <c:sideWall>
      <c:thickness val="0"/>
      <c:spPr>
        <a:noFill/>
        <a:effectLst/>
      </c:spPr>
    </c:sideWall>
    <c:backWall>
      <c:thickness val="0"/>
      <c:spPr>
        <a:noFill/>
        <a:effectLst/>
      </c:spPr>
    </c:backWall>
    <c:plotArea>
      <c:layout>
        <c:manualLayout>
          <c:layoutTarget val="inner"/>
          <c:xMode val="edge"/>
          <c:yMode val="edge"/>
          <c:x val="0.115753557121149"/>
          <c:y val="0.365522640710961"/>
          <c:w val="0.826511949164249"/>
          <c:h val="0.612797291578502"/>
        </c:manualLayout>
      </c:layout>
      <c:pie3DChart>
        <c:varyColors val="1"/>
        <c:ser>
          <c:idx val="0"/>
          <c:order val="0"/>
          <c:spPr>
            <a:scene3d>
              <a:camera prst="orthographicFront"/>
              <a:lightRig rig="threePt" dir="t"/>
            </a:scene3d>
            <a:sp3d contourW="9525"/>
          </c:spPr>
          <c:explosion val="0"/>
          <c:dPt>
            <c:idx val="0"/>
            <c:bubble3D val="0"/>
            <c:spPr>
              <a:gradFill>
                <a:gsLst>
                  <a:gs pos="100000">
                    <a:schemeClr val="accent1"/>
                  </a:gs>
                  <a:gs pos="0">
                    <a:schemeClr val="accent1">
                      <a:hueOff val="-1670000"/>
                    </a:schemeClr>
                  </a:gs>
                </a:gsLst>
                <a:lin ang="5400000" scaled="0"/>
              </a:gradFill>
              <a:ln>
                <a:gradFill>
                  <a:gsLst>
                    <a:gs pos="100000">
                      <a:schemeClr val="accent1">
                        <a:lumMod val="75000"/>
                      </a:schemeClr>
                    </a:gs>
                    <a:gs pos="0">
                      <a:schemeClr val="accent1">
                        <a:lumMod val="75000"/>
                        <a:hueOff val="-1670000"/>
                      </a:schemeClr>
                    </a:gs>
                  </a:gsLst>
                  <a:lin ang="4620000" scaled="0"/>
                </a:gradFill>
              </a:ln>
              <a:effectLst/>
            </c:spPr>
          </c:dPt>
          <c:dPt>
            <c:idx val="1"/>
            <c:bubble3D val="0"/>
            <c:spPr>
              <a:gradFill>
                <a:gsLst>
                  <a:gs pos="100000">
                    <a:schemeClr val="accent2"/>
                  </a:gs>
                  <a:gs pos="0">
                    <a:schemeClr val="accent2">
                      <a:hueOff val="-1670000"/>
                    </a:schemeClr>
                  </a:gs>
                </a:gsLst>
                <a:lin ang="5400000" scaled="0"/>
              </a:gradFill>
              <a:ln>
                <a:gradFill>
                  <a:gsLst>
                    <a:gs pos="100000">
                      <a:schemeClr val="accent2">
                        <a:lumMod val="75000"/>
                      </a:schemeClr>
                    </a:gs>
                    <a:gs pos="0">
                      <a:schemeClr val="accent2">
                        <a:lumMod val="75000"/>
                        <a:hueOff val="-1670000"/>
                      </a:schemeClr>
                    </a:gs>
                  </a:gsLst>
                  <a:lin ang="4620000" scaled="0"/>
                </a:gradFill>
              </a:ln>
              <a:effectLst/>
            </c:spPr>
          </c:dPt>
          <c:dPt>
            <c:idx val="2"/>
            <c:bubble3D val="0"/>
            <c:spPr>
              <a:gradFill>
                <a:gsLst>
                  <a:gs pos="100000">
                    <a:schemeClr val="accent3"/>
                  </a:gs>
                  <a:gs pos="0">
                    <a:schemeClr val="accent3">
                      <a:hueOff val="-1670000"/>
                    </a:schemeClr>
                  </a:gs>
                </a:gsLst>
                <a:lin ang="5400000" scaled="0"/>
              </a:gradFill>
              <a:ln>
                <a:gradFill>
                  <a:gsLst>
                    <a:gs pos="100000">
                      <a:schemeClr val="accent3">
                        <a:lumMod val="75000"/>
                      </a:schemeClr>
                    </a:gs>
                    <a:gs pos="0">
                      <a:schemeClr val="accent3">
                        <a:lumMod val="75000"/>
                        <a:hueOff val="-1670000"/>
                      </a:schemeClr>
                    </a:gs>
                  </a:gsLst>
                  <a:lin ang="4620000" scaled="0"/>
                </a:gradFill>
              </a:ln>
              <a:effectLst/>
            </c:spPr>
          </c:dPt>
          <c:dPt>
            <c:idx val="3"/>
            <c:bubble3D val="0"/>
            <c:spPr>
              <a:gradFill>
                <a:gsLst>
                  <a:gs pos="100000">
                    <a:schemeClr val="accent4"/>
                  </a:gs>
                  <a:gs pos="0">
                    <a:schemeClr val="accent4">
                      <a:hueOff val="-1670000"/>
                    </a:schemeClr>
                  </a:gs>
                </a:gsLst>
                <a:lin ang="5400000" scaled="0"/>
              </a:gradFill>
              <a:ln>
                <a:gradFill>
                  <a:gsLst>
                    <a:gs pos="100000">
                      <a:schemeClr val="accent4">
                        <a:lumMod val="75000"/>
                      </a:schemeClr>
                    </a:gs>
                    <a:gs pos="0">
                      <a:schemeClr val="accent4">
                        <a:lumMod val="75000"/>
                        <a:hueOff val="-1670000"/>
                      </a:schemeClr>
                    </a:gs>
                  </a:gsLst>
                  <a:lin ang="4620000" scaled="0"/>
                </a:gradFill>
              </a:ln>
              <a:effectLst/>
            </c:spPr>
          </c:dPt>
          <c:dPt>
            <c:idx val="4"/>
            <c:bubble3D val="0"/>
            <c:spPr>
              <a:gradFill>
                <a:gsLst>
                  <a:gs pos="100000">
                    <a:schemeClr val="accent5"/>
                  </a:gs>
                  <a:gs pos="0">
                    <a:schemeClr val="accent5">
                      <a:hueOff val="-1670000"/>
                    </a:schemeClr>
                  </a:gs>
                </a:gsLst>
                <a:lin ang="5400000" scaled="0"/>
              </a:gradFill>
              <a:ln>
                <a:gradFill>
                  <a:gsLst>
                    <a:gs pos="100000">
                      <a:schemeClr val="accent5">
                        <a:lumMod val="75000"/>
                      </a:schemeClr>
                    </a:gs>
                    <a:gs pos="0">
                      <a:schemeClr val="accent5">
                        <a:lumMod val="75000"/>
                        <a:hueOff val="-1670000"/>
                      </a:schemeClr>
                    </a:gs>
                  </a:gsLst>
                  <a:lin ang="4620000" scaled="0"/>
                </a:gradFill>
              </a:ln>
              <a:effectLst/>
              <a:scene3d>
                <a:camera prst="orthographicFront"/>
                <a:lightRig rig="threePt" dir="t"/>
              </a:scene3d>
              <a:sp3d contourW="9525"/>
            </c:spPr>
          </c:dPt>
          <c:dLbls>
            <c:dLbl>
              <c:idx val="0"/>
              <c:layout>
                <c:manualLayout>
                  <c:x val="-0.216534235319764"/>
                  <c:y val="-0.0356061697956216"/>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1"/>
              <c:layout>
                <c:manualLayout>
                  <c:x val="0.192287838975576"/>
                  <c:y val="0.0165572784738961"/>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2"/>
              <c:layout>
                <c:manualLayout>
                  <c:x val="-0.107291854650271"/>
                  <c:y val="-0.116992867790304"/>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3"/>
              <c:layout>
                <c:manualLayout>
                  <c:x val="0.432334484273819"/>
                  <c:y val="0.156968811849895"/>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outEnd"/>
            <c:showLegendKey val="0"/>
            <c:showVal val="0"/>
            <c:showCatName val="1"/>
            <c:showSerName val="0"/>
            <c:showPercent val="1"/>
            <c:showBubbleSize val="0"/>
            <c:separator> </c:separator>
            <c:showLeaderLines val="1"/>
            <c:extLst>
              <c:ext xmlns:c15="http://schemas.microsoft.com/office/drawing/2012/chart" uri="{CE6537A1-D6FC-4f65-9D91-7224C49458BB}">
                <c15:spPr xmlns:c15="http://schemas.microsoft.com/office/drawing/2012/chart">
                  <a:prstGeom prst="roundRect">
                    <a:avLst/>
                  </a:prstGeom>
                  <a:noFill/>
                  <a:ln>
                    <a:noFill/>
                  </a:ln>
                </c15:spPr>
                <c15:layout/>
                <c15:showLeaderLines val="1"/>
                <c15:leaderLines>
                  <c:spPr>
                    <a:ln w="9525">
                      <a:solidFill>
                        <a:schemeClr val="dk1">
                          <a:lumMod val="35000"/>
                          <a:lumOff val="65000"/>
                        </a:schemeClr>
                      </a:solidFill>
                    </a:ln>
                    <a:effectLst/>
                  </c:spPr>
                </c15:leaderLines>
              </c:ext>
            </c:extLst>
          </c:dLbls>
          <c:cat>
            <c:strRef>
              <c:f>[收入预算图.xlsx]Sheet1!$B$2:$B$6</c:f>
              <c:strCache>
                <c:ptCount val="5"/>
                <c:pt idx="0">
                  <c:v>社会保障和就业支出</c:v>
                </c:pt>
                <c:pt idx="1">
                  <c:v>卫生健康支出</c:v>
                </c:pt>
                <c:pt idx="3">
                  <c:v>住房保障支出</c:v>
                </c:pt>
                <c:pt idx="4">
                  <c:v>城乡社区支出</c:v>
                </c:pt>
              </c:strCache>
            </c:strRef>
          </c:cat>
          <c:val>
            <c:numRef>
              <c:f>[收入预算图.xlsx]Sheet1!$C$2:$C$6</c:f>
              <c:numCache>
                <c:formatCode>0.00%</c:formatCode>
                <c:ptCount val="5"/>
                <c:pt idx="0">
                  <c:v>0.0567</c:v>
                </c:pt>
                <c:pt idx="1">
                  <c:v>0.0191</c:v>
                </c:pt>
                <c:pt idx="3">
                  <c:v>0.0312</c:v>
                </c:pt>
                <c:pt idx="4">
                  <c:v>0.893</c:v>
                </c:pt>
              </c:numCache>
            </c:numRef>
          </c:val>
        </c:ser>
        <c:dLbls>
          <c:showLegendKey val="0"/>
          <c:showVal val="0"/>
          <c:showCatName val="1"/>
          <c:showSerName val="0"/>
          <c:showPercent val="1"/>
          <c:showBubbleSize val="0"/>
        </c:dLbls>
      </c:pie3DChart>
      <c:spPr>
        <a:noFill/>
        <a:ln>
          <a:noFill/>
        </a:ln>
        <a:effectLst/>
      </c:spPr>
    </c:plotArea>
    <c:legend>
      <c:legendPos val="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dk1">
                  <a:lumMod val="65000"/>
                  <a:lumOff val="35000"/>
                </a:schemeClr>
              </a:solidFill>
              <a:latin typeface="+mn-lt"/>
              <a:ea typeface="+mn-ea"/>
              <a:cs typeface="+mn-cs"/>
            </a:defRPr>
          </a:pPr>
        </a:p>
      </c:txPr>
    </c:legend>
    <c:plotVisOnly val="1"/>
    <c:dispBlanksAs val="gap"/>
    <c:showDLblsOverMax val="0"/>
  </c:chart>
  <c:spPr>
    <a:solidFill>
      <a:schemeClr val="lt1">
        <a:lumMod val="96000"/>
      </a:schemeClr>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10097">
  <cs:axisTitle>
    <cs:lnRef idx="0"/>
    <cs:fillRef idx="0"/>
    <cs:effectRef idx="0"/>
    <cs:fontRef idx="minor">
      <a:schemeClr val="dk1">
        <a:lumMod val="65000"/>
        <a:lumOff val="35000"/>
      </a:schemeClr>
    </cs:fontRef>
    <cs:defRPr sz="1000" kern="1200"/>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lt1">
          <a:lumMod val="96000"/>
        </a:schemeClr>
      </a:solidFill>
      <a:ln w="9525" cap="flat" cmpd="sng" algn="ctr">
        <a:solidFill>
          <a:schemeClr val="tx1">
            <a:lumMod val="15000"/>
            <a:lumOff val="85000"/>
          </a:schemeClr>
        </a:solidFill>
        <a:round/>
      </a:ln>
    </cs:spPr>
    <cs:defRPr sz="1000" kern="1200"/>
  </cs:chartArea>
  <cs:dataLabel>
    <cs:lnRef idx="0"/>
    <cs:fillRef idx="0"/>
    <cs:effectRef idx="0"/>
    <cs:fontRef idx="minor">
      <a:schemeClr val="dk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styleClr val="auto"/>
    </cs:lnRef>
    <cs:fillRef idx="0">
      <cs:styleClr val="auto"/>
    </cs:fillRef>
    <cs:effectRef idx="0"/>
    <cs:fontRef idx="minor">
      <a:schemeClr val="dk1"/>
    </cs:fontRef>
    <cs:spPr>
      <a:gradFill>
        <a:gsLst>
          <a:gs pos="100000">
            <a:schemeClr val="phClr"/>
          </a:gs>
          <a:gs pos="0">
            <a:schemeClr val="phClr">
              <a:hueOff val="-1670000"/>
            </a:schemeClr>
          </a:gs>
        </a:gsLst>
        <a:lin ang="5400000" scaled="0"/>
      </a:gradFill>
      <a:ln>
        <a:gradFill>
          <a:gsLst>
            <a:gs pos="100000">
              <a:schemeClr val="phClr">
                <a:lumMod val="75000"/>
              </a:schemeClr>
            </a:gs>
            <a:gs pos="0">
              <a:schemeClr val="phClr">
                <a:lumMod val="75000"/>
                <a:hueOff val="-1670000"/>
              </a:schemeClr>
            </a:gs>
          </a:gsLst>
          <a:lin ang="4620000" scaled="0"/>
        </a:gradFill>
      </a:ln>
      <a:effectLst/>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dk1">
        <a:lumMod val="65000"/>
        <a:lumOff val="35000"/>
      </a:schemeClr>
    </cs:fontRef>
    <cs:spPr>
      <a:noFill/>
      <a:ln w="9525" cap="flat" cmpd="sng" algn="ctr">
        <a:solidFill>
          <a:schemeClr val="dk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a:solidFill>
          <a:schemeClr val="dk1">
            <a:lumMod val="35000"/>
            <a:lumOff val="65000"/>
          </a:schemeClr>
        </a:solidFill>
      </a:ln>
    </cs:spPr>
  </cs:dropLine>
  <cs:errorBar>
    <cs:lnRef idx="0"/>
    <cs:fillRef idx="0"/>
    <cs:effectRef idx="0"/>
    <cs:fontRef idx="minor">
      <a:schemeClr val="tx1"/>
    </cs:fontRef>
    <cs:spPr>
      <a:ln w="9525" cap="flat" cmpd="sng" algn="ctr">
        <a:solidFill>
          <a:schemeClr val="dk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lt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a:solidFill>
          <a:schemeClr val="dk1">
            <a:lumMod val="75000"/>
            <a:lumOff val="25000"/>
          </a:schemeClr>
        </a:solidFill>
      </a:ln>
    </cs:spPr>
  </cs:hiLoLine>
  <cs:leaderLine>
    <cs:lnRef idx="0"/>
    <cs:fillRef idx="0"/>
    <cs:effectRef idx="0"/>
    <cs:fontRef idx="minor">
      <a:schemeClr val="tx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tx1"/>
    </cs:fontRef>
    <cs:spPr>
      <a:ln w="9525">
        <a:solidFill>
          <a:schemeClr val="dk1">
            <a:lumMod val="35000"/>
            <a:lumOff val="65000"/>
          </a:schemeClr>
        </a:solidFill>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4124</Words>
  <Characters>4389</Characters>
  <Lines>0</Lines>
  <Paragraphs>0</Paragraphs>
  <TotalTime>12</TotalTime>
  <ScaleCrop>false</ScaleCrop>
  <LinksUpToDate>false</LinksUpToDate>
  <CharactersWithSpaces>4395</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2024-05-22T14:39:00Z</dcterms:created>
  <dc:creator>dell</dc:creator>
  <cp:lastModifiedBy>Administrator</cp:lastModifiedBy>
  <dcterms:modified xsi:type="dcterms:W3CDTF">2024-06-22T15:08:11Z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EB55DD5C663246D58B88C1F5B0A3E7C7_13</vt:lpwstr>
  </property>
</Properties>
</file>