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君山区乡村振兴服务中心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spacing w:line="560" w:lineRule="exact"/>
        <w:ind w:firstLine="600"/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</w:pPr>
      <w:r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  <w:t>1、负责组织实施全区防返贫监测、衔接资金项目建设及管理、乡村振兴示范创建等工作；</w:t>
      </w:r>
    </w:p>
    <w:p>
      <w:pPr>
        <w:spacing w:line="560" w:lineRule="exact"/>
        <w:ind w:firstLine="600"/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</w:pPr>
      <w:r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  <w:t>2、负责国扶系统（省平台）监测信息</w:t>
      </w:r>
      <w:r>
        <w:rPr>
          <w:rFonts w:hint="eastAsia" w:eastAsia="仿宋_GB2312" w:cstheme="minorBidi"/>
          <w:kern w:val="0"/>
          <w:sz w:val="32"/>
          <w:szCs w:val="32"/>
          <w:lang w:val="en-US" w:eastAsia="zh-CN" w:bidi="ar"/>
        </w:rPr>
        <w:t>的指导与</w:t>
      </w:r>
      <w:r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  <w:t>管理；</w:t>
      </w:r>
    </w:p>
    <w:p>
      <w:pPr>
        <w:spacing w:line="560" w:lineRule="exact"/>
        <w:ind w:firstLine="600"/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</w:pPr>
      <w:r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  <w:t>3、协同开展全区乡村振兴督查考核、部门协调、驻村帮扶、信访舆情、问题整改等工作；</w:t>
      </w:r>
    </w:p>
    <w:p>
      <w:pPr>
        <w:ind w:firstLine="640" w:firstLineChars="200"/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</w:pPr>
      <w:r>
        <w:rPr>
          <w:rFonts w:hint="eastAsia" w:eastAsia="仿宋_GB2312" w:asciiTheme="minorHAnsi" w:hAnsiTheme="minorHAnsi" w:cstheme="minorBidi"/>
          <w:kern w:val="0"/>
          <w:sz w:val="32"/>
          <w:szCs w:val="32"/>
          <w:lang w:val="en-US" w:eastAsia="zh-CN" w:bidi="ar"/>
        </w:rPr>
        <w:t>4、完成上级部门交办的其他工作。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40" w:firstLineChars="200"/>
        <w:jc w:val="left"/>
        <w:rPr>
          <w:rFonts w:hint="eastAsia" w:eastAsia="仿宋_GB2312" w:cs="仿宋_GB2312"/>
          <w:kern w:val="0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君山</w:t>
      </w:r>
      <w:r>
        <w:rPr>
          <w:rFonts w:hint="eastAsia" w:eastAsia="仿宋_GB2312"/>
          <w:sz w:val="32"/>
          <w:szCs w:val="32"/>
        </w:rPr>
        <w:t>区乡村振兴服务中心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内设机构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个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包括：</w:t>
      </w:r>
      <w:bookmarkStart w:id="1" w:name="_GoBack"/>
      <w:bookmarkEnd w:id="1"/>
      <w:r>
        <w:rPr>
          <w:rFonts w:hint="eastAsia" w:eastAsia="仿宋_GB2312"/>
          <w:sz w:val="32"/>
          <w:szCs w:val="32"/>
          <w:lang w:val="en-US" w:eastAsia="zh-CN"/>
        </w:rPr>
        <w:t>综合办公室、防返贫监测股和乡村建设股</w:t>
      </w:r>
      <w:r>
        <w:rPr>
          <w:rFonts w:hint="eastAsia" w:eastAsia="仿宋_GB2312" w:cs="仿宋_GB2312"/>
          <w:kern w:val="0"/>
          <w:sz w:val="32"/>
          <w:szCs w:val="32"/>
        </w:rPr>
        <w:t>；核定全额拨款事业编制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9</w:t>
      </w:r>
      <w:r>
        <w:rPr>
          <w:rFonts w:hint="eastAsia" w:eastAsia="仿宋_GB2312" w:cs="仿宋_GB2312"/>
          <w:kern w:val="0"/>
          <w:sz w:val="32"/>
          <w:szCs w:val="32"/>
        </w:rPr>
        <w:t>名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设主任1名、副主任2名</w:t>
      </w:r>
      <w:r>
        <w:rPr>
          <w:rFonts w:hint="eastAsia" w:eastAsia="仿宋_GB2312" w:cs="仿宋_GB2312"/>
          <w:kern w:val="0"/>
          <w:sz w:val="32"/>
          <w:szCs w:val="32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君山</w:t>
      </w:r>
      <w:r>
        <w:rPr>
          <w:rFonts w:hint="eastAsia" w:eastAsia="仿宋_GB2312"/>
          <w:sz w:val="32"/>
          <w:szCs w:val="32"/>
        </w:rPr>
        <w:t>区乡村振兴服务中心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部门只有本级，没有其他二级预算单位，因此，纳入2024年部门预算编制范围的只有君山</w:t>
      </w:r>
      <w:r>
        <w:rPr>
          <w:rFonts w:hint="eastAsia" w:eastAsia="仿宋_GB2312"/>
          <w:sz w:val="32"/>
          <w:szCs w:val="32"/>
        </w:rPr>
        <w:t>区乡村振兴服务中心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（一）收入预算：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1663.01万元，其中，一般公共预算拨款1663.01万元，政府性基金预算资金0.00万元(所以公开的附件15-17表为空)，国有资本经营预算资金0.00万元(所以公开的附件18表为空)，财政专户管理资金0.00万元(所以公开的附件19表为空)，上级补助收入资金0.00万元，事业单位经营收入资金0.00万元，上年结转结余0.00万元。收入较上年增加26.56万元，上升1.62%。主要原因是加大</w:t>
      </w:r>
      <w:r>
        <w:rPr>
          <w:rFonts w:hint="eastAsia" w:eastAsia="仿宋_GB2312"/>
          <w:sz w:val="32"/>
          <w:szCs w:val="32"/>
        </w:rPr>
        <w:t>支持巩固拓展脱贫攻坚</w:t>
      </w:r>
      <w:r>
        <w:rPr>
          <w:rFonts w:hint="eastAsia" w:eastAsia="仿宋_GB2312"/>
          <w:sz w:val="32"/>
          <w:szCs w:val="32"/>
          <w:lang w:val="en-US" w:eastAsia="zh-CN"/>
        </w:rPr>
        <w:t>力度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拓展脱贫攻坚成果项目资金增加。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highlight w:val="none"/>
        </w:rP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yellow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（二）支出预算：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2024年本单位支出预算1663.01万元，其中：社会保障和就业支出12.52万元，卫生健康支出4.69万元，农林水支出1637.82万元，住房保障支出7.98万元。支出较上年增加26.56万元，上升1.62%。主要原因是加大</w:t>
      </w:r>
      <w:r>
        <w:rPr>
          <w:rFonts w:hint="eastAsia" w:eastAsia="仿宋_GB2312"/>
          <w:sz w:val="32"/>
          <w:szCs w:val="32"/>
        </w:rPr>
        <w:t>支持巩固拓展脱贫攻坚</w:t>
      </w:r>
      <w:r>
        <w:rPr>
          <w:rFonts w:hint="eastAsia" w:eastAsia="仿宋_GB2312"/>
          <w:sz w:val="32"/>
          <w:szCs w:val="32"/>
          <w:lang w:val="en-US" w:eastAsia="zh-CN"/>
        </w:rPr>
        <w:t>力度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拓展脱贫攻坚成果项目资金增加。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29585"/>
            <wp:effectExtent l="4445" t="4445" r="8890" b="13970"/>
            <wp:docPr id="1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2024年本单位一般公共预算拨款支出1663.01万元，其中：社会保障和就业支出12.52万元，占0.75%；卫生健康支出4.69万元，占0.28%；农林水支出1637.82万元，占98.49%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住房保障支出7.98万元，占0.48%。具体安排情况如下：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2024年本单位基本支出预算数101.33万元，主要是为保障部门正常运转、完成日常工作任务而发生的各项支出，包括用于基本工资、津贴补贴等人员经费以及办公费、印刷费、水电费、办公设备购置等公用经费。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2024年本单位项目支出预算1561.68万元，主要是本单位为完成特定工作任务或事业发展目标而发生的支出，包括支持巩固拓展脱贫攻坚成果项目、业务工作经费等，其中：农林水支出1561.68万元，主要用于</w:t>
      </w:r>
      <w:r>
        <w:rPr>
          <w:rFonts w:hint="eastAsia" w:eastAsia="仿宋_GB2312"/>
          <w:sz w:val="32"/>
          <w:szCs w:val="32"/>
        </w:rPr>
        <w:t>培育和壮大农业特色优势产品，和补齐必要农村人居环境整治和小型公益性基础设施建设，以及支持巩固拓展脱贫攻坚成果等方面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</w:rPr>
        <w:t>区乡村振兴服务中心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机关运行经费9.6万元，比上年预算下降6.25%。主要原因是厉行节约，压缩了公用费用支出预算。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0.96万元，其中，公务接待费0.96万元，公务用车购置及运行费0万元（其中，公务用车购置费0万元，公务用车运行费0万元），因公出国（境）费0万元。2024年“三公”经费预算较2023年增加0.12万元，主要原因是项目任务的增加会导致公务接待预算支出增加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2024年本单位会议费预算0.4万元，拟召开2次会议，人数90人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，内容为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开展脱贫攻坚成果工作推进会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；培训费预算0万元，拟开展0次培训，人数0人；2024年度本单位未计划举办节庆、晚会、论坛、赛事活动，</w:t>
      </w:r>
      <w:r>
        <w:rPr>
          <w:rFonts w:hint="eastAsia" w:eastAsia="仿宋_GB2312"/>
          <w:sz w:val="32"/>
          <w:szCs w:val="32"/>
        </w:rPr>
        <w:t>经费预算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2024年本单位政府采购预算总额61.6万元，其中，货物类采购预算1.6万元；工程类采购预算0万元；服务类采购预算60万元。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本单位所有支出实行绩效目标管理。纳入2024年单位整体支出绩效目标的金额为1663.01万元，其中，基本支出101.33万元，项目支出1561.68万元，具体绩效目标详见文尾附表中部门预算公开表格的表21-22。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spacing w:line="570" w:lineRule="atLeast"/>
        <w:jc w:val="center"/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附件：君山区乡村振兴服务中心2024年部门预算公开表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1OWIzYzk1MWM3N2I3MjEzZjQ5NzNmYzQ5ZWNlZGYifQ=="/>
  </w:docVars>
  <w:rsids>
    <w:rsidRoot w:val="637274E6"/>
    <w:rsid w:val="00857C69"/>
    <w:rsid w:val="02412BCB"/>
    <w:rsid w:val="02FA7BB8"/>
    <w:rsid w:val="03631DE8"/>
    <w:rsid w:val="05DE428D"/>
    <w:rsid w:val="05ED25F6"/>
    <w:rsid w:val="079242AE"/>
    <w:rsid w:val="085D0C84"/>
    <w:rsid w:val="0992531D"/>
    <w:rsid w:val="0A0D382D"/>
    <w:rsid w:val="0D2835D5"/>
    <w:rsid w:val="0ED939EE"/>
    <w:rsid w:val="13385187"/>
    <w:rsid w:val="13960100"/>
    <w:rsid w:val="144178C3"/>
    <w:rsid w:val="153656F6"/>
    <w:rsid w:val="167C1082"/>
    <w:rsid w:val="168E55F8"/>
    <w:rsid w:val="16B94831"/>
    <w:rsid w:val="174E6C1D"/>
    <w:rsid w:val="17792D94"/>
    <w:rsid w:val="18844C6D"/>
    <w:rsid w:val="1C744CBF"/>
    <w:rsid w:val="1CD25B13"/>
    <w:rsid w:val="1D6E31FC"/>
    <w:rsid w:val="1D85581C"/>
    <w:rsid w:val="1DF83D01"/>
    <w:rsid w:val="1FD800E8"/>
    <w:rsid w:val="200307FA"/>
    <w:rsid w:val="20187759"/>
    <w:rsid w:val="20A420AE"/>
    <w:rsid w:val="22DF4F83"/>
    <w:rsid w:val="230C7214"/>
    <w:rsid w:val="24302B07"/>
    <w:rsid w:val="243D1BD3"/>
    <w:rsid w:val="256B3D61"/>
    <w:rsid w:val="264178B0"/>
    <w:rsid w:val="26962633"/>
    <w:rsid w:val="26E130FE"/>
    <w:rsid w:val="29C372D4"/>
    <w:rsid w:val="29EC6874"/>
    <w:rsid w:val="2A351017"/>
    <w:rsid w:val="2D6329A9"/>
    <w:rsid w:val="2D841FE4"/>
    <w:rsid w:val="2DA53533"/>
    <w:rsid w:val="2DD9055C"/>
    <w:rsid w:val="2E321AC4"/>
    <w:rsid w:val="305B1762"/>
    <w:rsid w:val="305C2E10"/>
    <w:rsid w:val="3085088F"/>
    <w:rsid w:val="31A800DF"/>
    <w:rsid w:val="324A2389"/>
    <w:rsid w:val="32865768"/>
    <w:rsid w:val="328F1D91"/>
    <w:rsid w:val="32C66482"/>
    <w:rsid w:val="34521626"/>
    <w:rsid w:val="35683252"/>
    <w:rsid w:val="36BE748E"/>
    <w:rsid w:val="36CB7059"/>
    <w:rsid w:val="38E3475C"/>
    <w:rsid w:val="3951638D"/>
    <w:rsid w:val="3A242018"/>
    <w:rsid w:val="422B6E76"/>
    <w:rsid w:val="43666CD0"/>
    <w:rsid w:val="472973EE"/>
    <w:rsid w:val="477C3FDA"/>
    <w:rsid w:val="47E411CF"/>
    <w:rsid w:val="490966A2"/>
    <w:rsid w:val="496F41C2"/>
    <w:rsid w:val="4AD36F68"/>
    <w:rsid w:val="4B5D43D7"/>
    <w:rsid w:val="4BC03402"/>
    <w:rsid w:val="4DBF1A26"/>
    <w:rsid w:val="4EC2028E"/>
    <w:rsid w:val="4EE728E7"/>
    <w:rsid w:val="4FD90C3F"/>
    <w:rsid w:val="50447689"/>
    <w:rsid w:val="51B004D2"/>
    <w:rsid w:val="52A91D7A"/>
    <w:rsid w:val="54A70CC5"/>
    <w:rsid w:val="56301712"/>
    <w:rsid w:val="5681523A"/>
    <w:rsid w:val="576A0C54"/>
    <w:rsid w:val="59A91713"/>
    <w:rsid w:val="5A1535D7"/>
    <w:rsid w:val="5A380B96"/>
    <w:rsid w:val="5A790774"/>
    <w:rsid w:val="5C837ADC"/>
    <w:rsid w:val="5CF35248"/>
    <w:rsid w:val="5D2366CB"/>
    <w:rsid w:val="5D7F32CE"/>
    <w:rsid w:val="5E6D3E2C"/>
    <w:rsid w:val="5F3F29C6"/>
    <w:rsid w:val="60884CBD"/>
    <w:rsid w:val="60B230E1"/>
    <w:rsid w:val="6267026A"/>
    <w:rsid w:val="636D1293"/>
    <w:rsid w:val="637274E6"/>
    <w:rsid w:val="63894210"/>
    <w:rsid w:val="662F72F1"/>
    <w:rsid w:val="66B263EF"/>
    <w:rsid w:val="672F39F1"/>
    <w:rsid w:val="69175946"/>
    <w:rsid w:val="6B49147A"/>
    <w:rsid w:val="6C0749A4"/>
    <w:rsid w:val="6C1B6290"/>
    <w:rsid w:val="6C5E2742"/>
    <w:rsid w:val="6CB542C8"/>
    <w:rsid w:val="6CC62031"/>
    <w:rsid w:val="7076663E"/>
    <w:rsid w:val="70AE175A"/>
    <w:rsid w:val="70F92319"/>
    <w:rsid w:val="71D13646"/>
    <w:rsid w:val="728C4B01"/>
    <w:rsid w:val="729A1F96"/>
    <w:rsid w:val="739C7F8F"/>
    <w:rsid w:val="73BE1EBD"/>
    <w:rsid w:val="74232EF6"/>
    <w:rsid w:val="748B04A5"/>
    <w:rsid w:val="74D47E83"/>
    <w:rsid w:val="750E0F94"/>
    <w:rsid w:val="753F0C2D"/>
    <w:rsid w:val="77DE623F"/>
    <w:rsid w:val="788778AA"/>
    <w:rsid w:val="78CC0C1A"/>
    <w:rsid w:val="791A5BDE"/>
    <w:rsid w:val="7C6F2034"/>
    <w:rsid w:val="7C9338B5"/>
    <w:rsid w:val="7EBE525E"/>
    <w:rsid w:val="7F6D60FB"/>
    <w:rsid w:val="7F78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88143620160822"/>
                  <c:y val="0.0197312099169769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0.00749999999999998</c:v>
                </c:pt>
                <c:pt idx="1">
                  <c:v>0.0028</c:v>
                </c:pt>
                <c:pt idx="2">
                  <c:v>0.9849</c:v>
                </c:pt>
                <c:pt idx="3">
                  <c:v>0.0048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>
        <c:manualLayout>
          <c:xMode val="edge"/>
          <c:yMode val="edge"/>
          <c:x val="0.107749689183589"/>
          <c:y val="0.111510791366906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3328</Words>
  <Characters>3616</Characters>
  <Lines>0</Lines>
  <Paragraphs>0</Paragraphs>
  <TotalTime>0</TotalTime>
  <ScaleCrop>false</ScaleCrop>
  <LinksUpToDate>false</LinksUpToDate>
  <CharactersWithSpaces>3622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Mr.1.689小姐</cp:lastModifiedBy>
  <dcterms:modified xsi:type="dcterms:W3CDTF">2024-06-12T08:13:07Z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589C17C9EC604C539060FFE382A4B7F8_13</vt:lpwstr>
  </property>
</Properties>
</file>