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theme/themeOverride1.xml" ContentType="application/vnd.openxmlformats-officedocument.themeOverrid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君山区生态能源服务中心</w:t>
      </w:r>
    </w:p>
    <w:p>
      <w:pPr>
        <w:spacing w:line="570" w:lineRule="atLeast"/>
        <w:jc w:val="center"/>
        <w:rPr>
          <w:rFonts w:hint="eastAsia"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2024年部门预算公开</w:t>
      </w:r>
    </w:p>
    <w:p>
      <w:pPr>
        <w:jc w:val="center"/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both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eastAsia="黑体" w:asciiTheme="minorEastAsia" w:hAnsiTheme="minorEastAsia" w:cstheme="minorEastAsia"/>
          <w:sz w:val="28"/>
          <w:szCs w:val="28"/>
          <w:lang w:eastAsia="zh-CN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（一）职能职责</w:t>
      </w:r>
    </w:p>
    <w:p>
      <w:pPr>
        <w:spacing w:line="570" w:lineRule="atLeast"/>
        <w:ind w:firstLine="640" w:firstLineChars="200"/>
        <w:rPr>
          <w:rFonts w:eastAsia="仿宋_GB2312"/>
          <w:color w:val="000000"/>
          <w:sz w:val="32"/>
          <w:szCs w:val="32"/>
        </w:rPr>
      </w:pPr>
      <w:r>
        <w:rPr>
          <w:rFonts w:eastAsia="仿宋_GB2312"/>
          <w:color w:val="000000"/>
          <w:sz w:val="32"/>
          <w:szCs w:val="32"/>
        </w:rPr>
        <w:t>促进农村能源的开发与建设。负责编制全区能源发展规划，审批推广农村能源技术鉴定；审核农村能源工程设计、施工资质认定；审核兴建农村能源工程。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widowControl/>
        <w:spacing w:line="600" w:lineRule="exact"/>
        <w:ind w:firstLine="960" w:firstLineChars="300"/>
        <w:jc w:val="left"/>
        <w:rPr>
          <w:rFonts w:eastAsia="楷体_GB2312"/>
          <w:b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君山区生态能源服务中心内设</w:t>
      </w:r>
      <w:r>
        <w:rPr>
          <w:rFonts w:hint="eastAsia" w:eastAsia="仿宋_GB2312"/>
          <w:sz w:val="32"/>
          <w:szCs w:val="32"/>
          <w:lang w:val="en-US" w:eastAsia="zh-CN"/>
        </w:rPr>
        <w:t>1</w:t>
      </w:r>
      <w:r>
        <w:rPr>
          <w:rFonts w:hint="eastAsia" w:eastAsia="仿宋_GB2312"/>
          <w:sz w:val="32"/>
          <w:szCs w:val="32"/>
        </w:rPr>
        <w:t>个职能股室：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综合办公室</w:t>
      </w:r>
      <w:r>
        <w:rPr>
          <w:rFonts w:hint="eastAsia" w:eastAsia="仿宋_GB2312"/>
          <w:sz w:val="32"/>
          <w:szCs w:val="32"/>
        </w:rPr>
        <w:t>；核定区生态能源服务中心全额拨款事业编制</w:t>
      </w:r>
      <w:r>
        <w:rPr>
          <w:rFonts w:hint="eastAsia" w:eastAsia="仿宋_GB2312"/>
          <w:sz w:val="32"/>
          <w:szCs w:val="32"/>
          <w:lang w:val="en-US" w:eastAsia="zh-CN"/>
        </w:rPr>
        <w:t>3</w:t>
      </w:r>
      <w:r>
        <w:rPr>
          <w:rFonts w:hint="eastAsia" w:eastAsia="仿宋_GB2312"/>
          <w:sz w:val="32"/>
          <w:szCs w:val="32"/>
        </w:rPr>
        <w:t>名。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二、部门预算单位构成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  <w:bookmarkStart w:id="0" w:name="DEPT_COMPOSE"/>
      <w:r>
        <w:rPr>
          <w:rFonts w:hint="eastAsia" w:eastAsia="仿宋_GB2312"/>
          <w:sz w:val="32"/>
          <w:szCs w:val="32"/>
        </w:rPr>
        <w:t>君山区生态能源服务中心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部门只有本级，没有其他二级预算单位，因此，纳入2024年部门预算编制范围的只有</w:t>
      </w:r>
      <w:r>
        <w:rPr>
          <w:rFonts w:hint="eastAsia" w:eastAsia="仿宋_GB2312"/>
          <w:sz w:val="32"/>
          <w:szCs w:val="32"/>
        </w:rPr>
        <w:t>君山区生态能源服务中心</w:t>
      </w:r>
      <w:r>
        <w:rPr>
          <w:rFonts w:hint="eastAsia" w:eastAsia="仿宋_GB2312"/>
          <w:sz w:val="32"/>
          <w:szCs w:val="32"/>
          <w:lang w:val="en-US" w:eastAsia="zh-CN"/>
        </w:rPr>
        <w:t>本级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  <w:bookmarkEnd w:id="0"/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部门收支总体情况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单位2024年没有政府性基金预算拨款、国有资本经营预算收入和纳入专户管理的非税收入拨款收入，也没有使用政府性基金预算拨款、国有资本经营预算收入和纳入专户管理的非税收入拨款安排的支出，所以公开的附件15、16、17、18、19表均为空。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收入预算：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包括一般公共预算、政府性基金、国有资本经营预算等财政拨款收入，以及经营收入、事业收入等单位资金。2024年本单位收入预算38.99万元，其中，一般公共预算拨款38.99万元，政府性基金预算资金0.00万元，国有资本经营预算资金0.00万元，财政专户管理资金0.00万元，上级补助收入资金0.00万元，事业单位经营收入资金0.00万元，上年结转结余0.00万元。收入较上年减少18.22万元，下降31.85%。主要原因是2023年有1名工作人员退休，从而导致工资福利支出和商品服务支出减少，按财政要求节约预算支出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drawing>
          <wp:inline distT="0" distB="0" distL="114300" distR="114300">
            <wp:extent cx="4826000" cy="2743200"/>
            <wp:effectExtent l="4445" t="4445" r="8255" b="52705"/>
            <wp:docPr id="8" name="图表 7" descr="7b0a202020202263686172745265734964223a20223230343736303933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leftChars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支出预算38.99万元，其中：社会保障和就业支出4.81万元，卫生健康支出1.45万元，农林水支出30.41万元，住房保障支出2.32万元。支出较上年减少18.22万元，下降31.85%。主要原因是2023年有1名工作人员退休，从而导致工资福利支出和商品服务支出减少。</w:t>
      </w:r>
    </w:p>
    <w:tbl>
      <w:tblPr>
        <w:tblStyle w:val="6"/>
        <w:tblW w:w="108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drawing>
          <wp:inline distT="0" distB="0" distL="114300" distR="114300">
            <wp:extent cx="4596765" cy="3001010"/>
            <wp:effectExtent l="4445" t="4445" r="8890" b="23495"/>
            <wp:docPr id="1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2024年本单位一般公共预算拨款支出38.99万元，其中：社会保障和就业支出4.81万元，占12.36%；卫生健康支出1.45万元，占3.72%；农林水支出30.41万元，占77.97%</w:t>
      </w:r>
      <w:r>
        <w:rPr>
          <w:rFonts w:hint="eastAsia" w:ascii="仿宋_GB2312" w:hAnsi="仿宋_GB2312" w:eastAsia="仿宋_GB2312" w:cs="仿宋_GB2312"/>
          <w:color w:val="000000"/>
          <w:kern w:val="2"/>
          <w:sz w:val="36"/>
          <w:szCs w:val="36"/>
          <w:shd w:val="clear" w:color="auto" w:fill="FFFFFF"/>
          <w:lang w:val="en-US" w:eastAsia="zh-CN" w:bidi="ar-SA"/>
        </w:rPr>
        <w:t>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住房保障支出2.32万元，占5.95%。具体安排情况如下：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2024年本单位基本支出预算数31.79万元，主要是为保障部门正常运转、完成日常工作任务而发生的各项支出，包括用于基本工资、津贴补贴等人员经费以及办公费、印刷费、水电费、办公设备购置等公用经费。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2024年本单位项目支出预算7.2万元，主要是本单位为完成特定工作任务或事业发展目标而发生的支出，包括业务工作经费等，其中：农林水支出7.2万元，主要用于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推广和维护能源项目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2024年度本单位无政府性基金安排的支出，所以公开的附件15-17表（政府性基金预算）为空。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</w:t>
      </w:r>
      <w:r>
        <w:rPr>
          <w:rFonts w:hint="eastAsia" w:eastAsia="仿宋_GB2312"/>
          <w:sz w:val="32"/>
          <w:szCs w:val="32"/>
        </w:rPr>
        <w:t>君山区生态能源服务中心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机关运行经费3.84万元，比上年预算下降47.33%。主要原因是2023年有1名工作人员退休，造成公用经费预算减少。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“三公”经费预算数为0.1万元，其中，公务接待费0.10万元，公务用车购置及运行费0万元（其中，公务用车购置费0万元，公务用车运行费0万元），因公出国（境）费0万元。2024年“三公”经费预算较2023年减少0.1万元，主要原因是严格落实中央“八项规定”精神和“过紧日子”的要求，从严控制“三公”经费支出。</w:t>
      </w:r>
      <w:bookmarkStart w:id="1" w:name="END_IS_ZERO_06_1"/>
      <w:bookmarkEnd w:id="1"/>
      <w:bookmarkStart w:id="2" w:name="START_IS_ZERO_06_2"/>
      <w:bookmarkEnd w:id="2"/>
      <w:bookmarkStart w:id="3" w:name="END_IS_ZERO_06_2"/>
      <w:bookmarkEnd w:id="3"/>
      <w:bookmarkStart w:id="4" w:name="DIS_MARK_IS_ZERO_06_2"/>
      <w:bookmarkEnd w:id="4"/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2024年本单位会议费预算0万元，拟召开0次会议，人数0人；培训费预算0万元，拟开展0次培训，人数0人；2024年度本部门未计划举办节庆、晚会、论坛、赛事活动，经费预算0万元。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2024年本单位政府采购预算总额32万元，其中，货物类采购预算29万元；工程类采购预算0万元；服务类采购预算3万元。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单位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车0辆，特种专业技术用车0辆，其他按照规定配备的公务用车0辆；新增配备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本单位所有支出实行绩效目标管理。纳入2024年单位整体支出绩效目标的金额为38.99万元，其中，基本支出31.79万元，项目支出7.2万元，具体绩效目标详见文尾附表中部门预算公开表格的表21-22。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bookmarkStart w:id="5" w:name="_GoBack"/>
      <w:bookmarkEnd w:id="5"/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spacing w:line="570" w:lineRule="atLeast"/>
        <w:jc w:val="center"/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附件：君山区生态能源服务中心2024年部门预算公开表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1038EA"/>
    <w:multiLevelType w:val="singleLevel"/>
    <w:tmpl w:val="511038EA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RhMjdlZjQ5YjRhZjNkYTU5MWJjNTdiM2YyYzk4OWIifQ=="/>
  </w:docVars>
  <w:rsids>
    <w:rsidRoot w:val="637274E6"/>
    <w:rsid w:val="00857C69"/>
    <w:rsid w:val="02412BCB"/>
    <w:rsid w:val="02FA7BB8"/>
    <w:rsid w:val="03631DE8"/>
    <w:rsid w:val="0365333C"/>
    <w:rsid w:val="05DE428D"/>
    <w:rsid w:val="05ED25F6"/>
    <w:rsid w:val="079242AE"/>
    <w:rsid w:val="085D0C84"/>
    <w:rsid w:val="0992531D"/>
    <w:rsid w:val="0A0D382D"/>
    <w:rsid w:val="0D2835D5"/>
    <w:rsid w:val="0ED939EE"/>
    <w:rsid w:val="0F7557DF"/>
    <w:rsid w:val="0FF91918"/>
    <w:rsid w:val="13385187"/>
    <w:rsid w:val="144178C3"/>
    <w:rsid w:val="167C1082"/>
    <w:rsid w:val="168E55F8"/>
    <w:rsid w:val="16B94831"/>
    <w:rsid w:val="18844C6D"/>
    <w:rsid w:val="1C744CBF"/>
    <w:rsid w:val="1CD25B13"/>
    <w:rsid w:val="1D6E31FC"/>
    <w:rsid w:val="1D85581C"/>
    <w:rsid w:val="1FD800E8"/>
    <w:rsid w:val="200307FA"/>
    <w:rsid w:val="20A420AE"/>
    <w:rsid w:val="22DF4F83"/>
    <w:rsid w:val="230C7214"/>
    <w:rsid w:val="24302B07"/>
    <w:rsid w:val="243D1BD3"/>
    <w:rsid w:val="256B3D61"/>
    <w:rsid w:val="264178B0"/>
    <w:rsid w:val="26962633"/>
    <w:rsid w:val="26E130FE"/>
    <w:rsid w:val="29C372D4"/>
    <w:rsid w:val="29EC6874"/>
    <w:rsid w:val="2A351017"/>
    <w:rsid w:val="2D6329A9"/>
    <w:rsid w:val="2DA53533"/>
    <w:rsid w:val="2E745A02"/>
    <w:rsid w:val="305B1762"/>
    <w:rsid w:val="305C2E10"/>
    <w:rsid w:val="3085088F"/>
    <w:rsid w:val="31A800DF"/>
    <w:rsid w:val="324A2389"/>
    <w:rsid w:val="32865768"/>
    <w:rsid w:val="328F1D91"/>
    <w:rsid w:val="32C66482"/>
    <w:rsid w:val="34521626"/>
    <w:rsid w:val="35683252"/>
    <w:rsid w:val="36BE748E"/>
    <w:rsid w:val="36CB7059"/>
    <w:rsid w:val="38E3475C"/>
    <w:rsid w:val="3951638D"/>
    <w:rsid w:val="3A242018"/>
    <w:rsid w:val="43666CD0"/>
    <w:rsid w:val="472973EE"/>
    <w:rsid w:val="477C3FDA"/>
    <w:rsid w:val="47E411CF"/>
    <w:rsid w:val="490966A2"/>
    <w:rsid w:val="496F41C2"/>
    <w:rsid w:val="4AD36F68"/>
    <w:rsid w:val="4B5D43D7"/>
    <w:rsid w:val="4B881B5A"/>
    <w:rsid w:val="4BC03402"/>
    <w:rsid w:val="4DBF1A26"/>
    <w:rsid w:val="4EC2028E"/>
    <w:rsid w:val="4EE728E7"/>
    <w:rsid w:val="50447689"/>
    <w:rsid w:val="51B004D2"/>
    <w:rsid w:val="52A91D7A"/>
    <w:rsid w:val="54A70CC5"/>
    <w:rsid w:val="56301712"/>
    <w:rsid w:val="5681523A"/>
    <w:rsid w:val="576A0C54"/>
    <w:rsid w:val="58E3311E"/>
    <w:rsid w:val="5A1535D7"/>
    <w:rsid w:val="5A380B96"/>
    <w:rsid w:val="5D7F32CE"/>
    <w:rsid w:val="5F3F29C6"/>
    <w:rsid w:val="60884CBD"/>
    <w:rsid w:val="60B230E1"/>
    <w:rsid w:val="636D1293"/>
    <w:rsid w:val="637274E6"/>
    <w:rsid w:val="63894210"/>
    <w:rsid w:val="662F72F1"/>
    <w:rsid w:val="66B263EF"/>
    <w:rsid w:val="69175946"/>
    <w:rsid w:val="6B49147A"/>
    <w:rsid w:val="6C0749A4"/>
    <w:rsid w:val="6C1B6290"/>
    <w:rsid w:val="6C5E2742"/>
    <w:rsid w:val="6CB542C8"/>
    <w:rsid w:val="6CC62031"/>
    <w:rsid w:val="7076663E"/>
    <w:rsid w:val="70AE175A"/>
    <w:rsid w:val="70F92319"/>
    <w:rsid w:val="728C4B01"/>
    <w:rsid w:val="729A1F96"/>
    <w:rsid w:val="739C7F8F"/>
    <w:rsid w:val="73BE1EBD"/>
    <w:rsid w:val="74232EF6"/>
    <w:rsid w:val="748B04A5"/>
    <w:rsid w:val="74D47E83"/>
    <w:rsid w:val="753F0C2D"/>
    <w:rsid w:val="77DE623F"/>
    <w:rsid w:val="78CC0C1A"/>
    <w:rsid w:val="791A5BDE"/>
    <w:rsid w:val="7B26309D"/>
    <w:rsid w:val="7B8F7DA2"/>
    <w:rsid w:val="7C9338B5"/>
    <w:rsid w:val="7EBE525E"/>
    <w:rsid w:val="7F6D60FB"/>
    <w:rsid w:val="7F781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qFormat/>
    <w:uiPriority w:val="0"/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themeOverride" Target="../theme/themeOverride1.xml"/><Relationship Id="rId1" Type="http://schemas.openxmlformats.org/officeDocument/2006/relationships/oleObject" Target="file:///d:\Documents\WeChat%20Files\wxid_8uktj8qci1hc22\FileStorage\File\2024-05\&#25910;&#20837;&#39044;&#31639;&#22270;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d:\Documents\WeChat%20Files\wxid_8uktj8qci1hc22\FileStorage\File\2024-05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0" vertOverflow="ellipsis" vert="horz" wrap="square" anchor="ctr" anchorCtr="1" forceAA="0"/>
          <a:lstStyle/>
          <a:p>
            <a:pPr>
              <a:defRPr lang="zh-CN" sz="1400" b="0" i="0" u="none" strike="noStrike" kern="1200" spc="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25"/>
      <c:rotY val="0"/>
      <c:depthPercent val="10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spPr>
            <a:ln w="15875" cmpd="sng">
              <a:solidFill>
                <a:schemeClr val="bg1"/>
              </a:solidFill>
              <a:prstDash val="solid"/>
            </a:ln>
            <a:effectLst/>
            <a:scene3d>
              <a:camera prst="orthographicFront"/>
              <a:lightRig rig="threePt" dir="t"/>
            </a:scene3d>
            <a:sp3d contourW="15875" prstMaterial="flat"/>
          </c:spPr>
          <c:explosion val="0"/>
          <c:dPt>
            <c:idx val="0"/>
            <c:bubble3D val="0"/>
            <c:spPr>
              <a:gradFill>
                <a:gsLst>
                  <a:gs pos="0">
                    <a:schemeClr val="accent1">
                      <a:lumMod val="60000"/>
                      <a:lumOff val="40000"/>
                    </a:schemeClr>
                  </a:gs>
                  <a:gs pos="70000">
                    <a:schemeClr val="accent1"/>
                  </a:gs>
                </a:gsLst>
                <a:lin ang="13500000" scaled="0"/>
              </a:gradFill>
              <a:ln w="15875" cmpd="sng">
                <a:solidFill>
                  <a:schemeClr val="accent1">
                    <a:lumMod val="75000"/>
                  </a:schemeClr>
                </a:solidFill>
                <a:prstDash val="solid"/>
              </a:ln>
              <a:effectLst/>
              <a:scene3d>
                <a:camera prst="orthographicFront"/>
                <a:lightRig rig="threePt" dir="t"/>
              </a:scene3d>
              <a:sp3d contourW="15875" prstMaterial="flat"/>
            </c:spPr>
          </c:dPt>
          <c:dLbls>
            <c:dLbl>
              <c:idx val="0"/>
              <c:layout/>
              <c:numFmt formatCode="General" sourceLinked="1"/>
              <c:spPr>
                <a:noFill/>
                <a:ln>
                  <a:noFill/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 forceAA="0"/>
                <a:lstStyle/>
                <a:p>
                  <a:pPr>
                    <a:defRPr lang="zh-CN" sz="900" b="0" i="0" u="none" strike="noStrike" kern="1200" baseline="0">
                      <a:solidFill>
                        <a:schemeClr val="bg1"/>
                      </a:solidFill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in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General" sourceLinked="1"/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 forceAA="0"/>
              <a:lstStyle/>
              <a:p>
                <a:pPr>
                  <a:defRPr lang="zh-CN" sz="900" b="0" i="0" u="none" strike="noStrike" kern="1200" baseline="0">
                    <a:solidFill>
                      <a:schemeClr val="bg1"/>
                    </a:solidFill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  <a:latin typeface="+mn-lt"/>
                    <a:ea typeface="+mn-ea"/>
                    <a:cs typeface="+mn-cs"/>
                  </a:defRPr>
                </a:pPr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extLst>
                <c:ext xmlns:c15="http://schemas.microsoft.com/office/drawing/2012/chart" uri="{02D57815-91ED-43cb-92C2-25804820EDAC}">
                  <c15:fullRef>
                    <c15:sqref>[收入预算图.xlsx]Sheet1!$B$31:$B$32</c15:sqref>
                  </c15:fullRef>
                </c:ext>
              </c:extLst>
              <c:f>[收入预算图.xlsx]Sheet1!$B$31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extLst>
                <c:ext xmlns:c15="http://schemas.microsoft.com/office/drawing/2012/chart" uri="{02D57815-91ED-43cb-92C2-25804820EDAC}">
                  <c15:fullRef>
                    <c15:sqref>Sheet1!$C$31:$C$32</c15:sqref>
                  </c15:fullRef>
                </c:ext>
              </c:extLst>
              <c:f>[收入预算图.xlsx]Sheet1!$C$31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 forceAA="0"/>
        <a:lstStyle/>
        <a:p>
          <a:pPr>
            <a:defRPr lang="zh-CN" sz="900" b="0" i="0" u="none" strike="noStrike" kern="1200" baseline="0">
              <a:solidFill>
                <a:schemeClr val="tx1">
                  <a:lumMod val="50000"/>
                  <a:lumOff val="50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bg1">
          <a:lumMod val="85000"/>
        </a:schemeClr>
      </a:solidFill>
      <a:prstDash val="solid"/>
      <a:round/>
    </a:ln>
    <a:effectLst>
      <a:outerShdw blurRad="63500" dist="37357" dir="2700000" sx="0" sy="0" rotWithShape="0">
        <a:scrgbClr r="0" g="0" b="0"/>
      </a:outerShdw>
    </a:effectLst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>
        <c:manualLayout>
          <c:layoutTarget val="inner"/>
          <c:xMode val="edge"/>
          <c:yMode val="edge"/>
          <c:x val="0.0908882442326288"/>
          <c:y val="0.298870080406263"/>
          <c:w val="0.826511949164249"/>
          <c:h val="0.612797291578502"/>
        </c:manualLayout>
      </c:layout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Lbls>
            <c:dLbl>
              <c:idx val="0"/>
              <c:layout>
                <c:manualLayout>
                  <c:x val="-0.0963518896919145"/>
                  <c:y val="-0.041954032681783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0.00870677353996511"/>
                  <c:y val="-0.072312801932367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30597809552784"/>
                  <c:y val="-0.0692934782608696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0.240660118818549"/>
                  <c:y val="0.0108389392220462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[收入预算图.xlsx]Sheet1!$B$2:$B$5</c:f>
              <c:strCache>
                <c:ptCount val="4"/>
                <c:pt idx="0">
                  <c:v>社会保障和就业支出</c:v>
                </c:pt>
                <c:pt idx="1">
                  <c:v>卫生健康支出</c:v>
                </c:pt>
                <c:pt idx="2">
                  <c:v>农林水支出等支出</c:v>
                </c:pt>
                <c:pt idx="3">
                  <c:v>住房保障支出</c:v>
                </c:pt>
              </c:strCache>
            </c:strRef>
          </c:cat>
          <c:val>
            <c:numRef>
              <c:f>[收入预算图.xlsx]Sheet1!$C$2:$C$5</c:f>
              <c:numCache>
                <c:formatCode>0.00%</c:formatCode>
                <c:ptCount val="4"/>
                <c:pt idx="0">
                  <c:v>0.1236</c:v>
                </c:pt>
                <c:pt idx="1">
                  <c:v>0.0372</c:v>
                </c:pt>
                <c:pt idx="2">
                  <c:v>0.7797</c:v>
                </c:pt>
                <c:pt idx="3">
                  <c:v>0.0595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word/theme/themeOverride1.xml><?xml version="1.0" encoding="utf-8"?>
<a:themeOverride xmlns:a="http://schemas.openxmlformats.org/drawingml/2006/main">
  <a:clrScheme name="自定义 6">
    <a:dk1>
      <a:srgbClr val="000000"/>
    </a:dk1>
    <a:lt1>
      <a:srgbClr val="FFFFFF"/>
    </a:lt1>
    <a:dk2>
      <a:srgbClr val="0C0E1F"/>
    </a:dk2>
    <a:lt2>
      <a:srgbClr val="FEFFFF"/>
    </a:lt2>
    <a:accent1>
      <a:srgbClr val="54C9FA"/>
    </a:accent1>
    <a:accent2>
      <a:srgbClr val="6C92FD"/>
    </a:accent2>
    <a:accent3>
      <a:srgbClr val="FF731F"/>
    </a:accent3>
    <a:accent4>
      <a:srgbClr val="16CC8A"/>
    </a:accent4>
    <a:accent5>
      <a:srgbClr val="FFC619"/>
    </a:accent5>
    <a:accent6>
      <a:srgbClr val="4E37FF"/>
    </a:accent6>
    <a:hlink>
      <a:srgbClr val="304FFE"/>
    </a:hlink>
    <a:folHlink>
      <a:srgbClr val="492067"/>
    </a:folHlink>
  </a:clrScheme>
  <a:fontScheme name="自定义 2">
    <a:majorFont>
      <a:latin typeface="微软雅黑"/>
      <a:ea typeface="微软雅黑"/>
      <a:cs typeface=""/>
    </a:majorFont>
    <a:minorFont>
      <a:latin typeface="微软雅黑"/>
      <a:ea typeface="微软雅黑"/>
      <a:cs typeface="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3194</Words>
  <Characters>3447</Characters>
  <Lines>0</Lines>
  <Paragraphs>0</Paragraphs>
  <TotalTime>6</TotalTime>
  <ScaleCrop>false</ScaleCrop>
  <LinksUpToDate>false</LinksUpToDate>
  <CharactersWithSpaces>3453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Administrator</cp:lastModifiedBy>
  <dcterms:modified xsi:type="dcterms:W3CDTF">2024-06-09T14:25:25Z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3B07C137DD7845B280C4B1FEDDFB932E_13</vt:lpwstr>
  </property>
</Properties>
</file>