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olors1.xml" ContentType="application/vnd.ms-office.chartcolorstyle+xml"/>
  <Override PartName="/word/charts/style1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default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岳阳市君山区农业机械服务中心</w:t>
      </w:r>
    </w:p>
    <w:p>
      <w:pPr>
        <w:spacing w:line="570" w:lineRule="atLeast"/>
        <w:jc w:val="center"/>
        <w:rPr>
          <w:rFonts w:hint="eastAsia" w:ascii="黑体" w:hAnsi="黑体" w:eastAsia="黑体" w:cs="黑体"/>
          <w:b/>
          <w:bCs/>
          <w:sz w:val="48"/>
          <w:szCs w:val="48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2024年部门预算公开</w:t>
      </w:r>
    </w:p>
    <w:p>
      <w:pPr>
        <w:rPr>
          <w:rFonts w:hint="eastAsia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  <w:r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  <w:t>目 录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第一部分 2024年部门预算说明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一、部门基本概况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二、部门预算单位构成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三、部门收支总体情况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四、一般公共预算拨款支出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五、政府性基金预算支出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六、其他重要事项的情况说明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七、名词解释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第二部分 2024年部门预算表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注：以上部门预算公开报表中，空表表示本部门无相关收支情况。</w:t>
      </w:r>
    </w:p>
    <w:p>
      <w:pPr>
        <w:jc w:val="center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</w:p>
    <w:p>
      <w:pPr>
        <w:jc w:val="center"/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</w:pPr>
      <w:r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  <w:t>第一部分 部门预算公开说明</w:t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一、</w:t>
      </w: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部门</w:t>
      </w: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基本概况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（一）职能职责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u w:val="none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u w:val="none"/>
          <w:lang w:val="en-US" w:eastAsia="zh-CN"/>
        </w:rPr>
        <w:t>（一）贯彻执行全区农业机械化发展战略中长期发展规划，促进农业机械化发展，落实农机惠农政策，引导农民使用新型农机产品，改善农机装备结构。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u w:val="none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u w:val="none"/>
          <w:lang w:val="en-US" w:eastAsia="zh-CN"/>
        </w:rPr>
        <w:t>（二）组织实施农机化科技创新等重大经济、技术、政策，开展农业机械化科技攻关和关键机具的开发。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u w:val="none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u w:val="none"/>
          <w:lang w:val="en-US" w:eastAsia="zh-CN"/>
        </w:rPr>
        <w:t>（三）承担农机化新技术新机具的引进、试验、示范、推广、组织实施工作。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u w:val="none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u w:val="none"/>
          <w:lang w:val="en-US" w:eastAsia="zh-CN"/>
        </w:rPr>
        <w:t>（四）组织开展社会化服务，机械化生产和农机抗灾救灾工作。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u w:val="none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u w:val="none"/>
          <w:lang w:val="en-US" w:eastAsia="zh-CN"/>
        </w:rPr>
        <w:t>（五）协调农机经销企业和农业维修网点发展，开展农机技术培训，农机职业技术教育工作。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u w:val="none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u w:val="none"/>
          <w:lang w:val="en-US" w:eastAsia="zh-CN"/>
        </w:rPr>
        <w:t>（六）实施农机化信息网络建设；负责农业机械化统计工作，收集、发布农机行业有关的技术信息。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u w:val="none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u w:val="none"/>
          <w:lang w:val="en-US" w:eastAsia="zh-CN"/>
        </w:rPr>
        <w:t>（七）开展农机行业对外经济技术合作与交流。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00" w:firstLineChars="200"/>
        <w:textAlignment w:val="auto"/>
        <w:rPr>
          <w:rFonts w:eastAsia="楷体_GB2312"/>
          <w:b/>
          <w:sz w:val="32"/>
          <w:szCs w:val="32"/>
        </w:rPr>
      </w:pPr>
      <w:r>
        <w:rPr>
          <w:rFonts w:hint="eastAsia" w:ascii="仿宋" w:hAnsi="仿宋" w:eastAsia="仿宋" w:cs="仿宋"/>
          <w:sz w:val="30"/>
          <w:szCs w:val="30"/>
          <w:u w:val="none"/>
          <w:lang w:val="en-US" w:eastAsia="zh-CN"/>
        </w:rPr>
        <w:t>（八）承办区委、区政府和区农业农村局交办的其他工作任务。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（二）机构设置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u w:val="none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u w:val="none"/>
          <w:lang w:val="en-US" w:eastAsia="zh-CN"/>
        </w:rPr>
        <w:t>君山区农业机械服务中心内设机构5个，分别为：党支部、办公室、财务股、推广股、工会。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 xml:space="preserve">   </w:t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  <w:lang w:val="en-US" w:eastAsia="zh-CN"/>
        </w:rPr>
        <w:t>二、部门预算单位构成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bookmarkStart w:id="0" w:name="DEPT_COMPOSE"/>
      <w:r>
        <w:rPr>
          <w:rFonts w:hint="eastAsia" w:eastAsia="仿宋_GB2312"/>
          <w:sz w:val="32"/>
          <w:szCs w:val="32"/>
          <w:u w:val="none"/>
          <w:lang w:val="en-US" w:eastAsia="zh-CN"/>
        </w:rPr>
        <w:t>岳阳市君山区农业机械服务中心</w:t>
      </w:r>
      <w:r>
        <w:rPr>
          <w:rFonts w:eastAsia="仿宋_GB2312"/>
          <w:sz w:val="32"/>
          <w:szCs w:val="32"/>
          <w:u w:val="none"/>
        </w:rPr>
        <w:t>只有本级，没有其他预算单位，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因此，纳入2024年部门预算编制范围的只有</w:t>
      </w:r>
      <w:r>
        <w:rPr>
          <w:rFonts w:hint="eastAsia" w:eastAsia="仿宋_GB2312"/>
          <w:sz w:val="32"/>
          <w:szCs w:val="32"/>
          <w:u w:val="none"/>
          <w:lang w:val="en-US" w:eastAsia="zh-CN"/>
        </w:rPr>
        <w:t>岳阳市君山区农业机械服务中心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本级。</w:t>
      </w:r>
      <w:bookmarkEnd w:id="0"/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  <w:lang w:val="en-US" w:eastAsia="zh-CN"/>
        </w:rPr>
        <w:t>三、部门收支总体情况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本单位2024年没有政府性基金预算拨款、国有资本经营预算收入和纳入专户管理的非税收入拨款收入，也没有使用政府性基金预算拨款、国有资本经营预算收入和纳入专户管理的非税收入拨款安排的支出，所以部门预算公开表1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5、16、17、18、19表均为空。</w:t>
      </w:r>
    </w:p>
    <w:p>
      <w:pPr>
        <w:numPr>
          <w:ilvl w:val="0"/>
          <w:numId w:val="1"/>
        </w:num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收入预算：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包括一般公共预算、政府性基金、国有资本经营预算等财政拨款收入，以及经营收入、事业收入等单位资金。2024年本单位收入预算234.67万元，其中，一般公共预算拨款234.67万元，政府性基金预算资金0.00万元(所以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部门预算公开表15-17表为空)，国有资本经营预算资金0.00万元(所以部门预算公开表18表为空)，财政专户管理资金0.00万元(所以部门预算公开表19表为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空)，上级补助收入资金0.00万元，事业单位经营收入资金0.00万元，上年结转结余0.00万元。收入较上年增加24.69万元，上升11.76%。主要原因是增加了3名工作人员，从而导致收入预算增加。</w:t>
      </w:r>
    </w:p>
    <w:p>
      <w:pPr>
        <w:pStyle w:val="2"/>
        <w:numPr>
          <w:ilvl w:val="0"/>
          <w:numId w:val="0"/>
        </w:numPr>
        <w:rPr>
          <w:rFonts w:hint="eastAsia"/>
          <w:lang w:val="en-US" w:eastAsia="zh-CN"/>
        </w:rPr>
      </w:pPr>
      <w:r>
        <w:drawing>
          <wp:inline distT="0" distB="0" distL="114300" distR="114300">
            <wp:extent cx="4886325" cy="2667000"/>
            <wp:effectExtent l="6350" t="6350" r="22225" b="12700"/>
            <wp:docPr id="4" name="图表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>
      <w:pPr>
        <w:pStyle w:val="2"/>
        <w:numPr>
          <w:ilvl w:val="0"/>
          <w:numId w:val="0"/>
        </w:numPr>
        <w:rPr>
          <w:rFonts w:hint="eastAsia"/>
          <w:lang w:val="en-US" w:eastAsia="zh-CN"/>
        </w:rPr>
      </w:pPr>
    </w:p>
    <w:p>
      <w:pPr>
        <w:numPr>
          <w:ilvl w:val="0"/>
          <w:numId w:val="1"/>
        </w:num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支出预算：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支出预算234.67万元，其中：社会保障和就业支出25.54万元，卫生健康支出7.22万元，农林水支出190.41万元，住房保障支出11.50万元。支出较上年增加24.69万元，上升11.76%。主要原因是增加了3名工作人员，从而导致收入预算增加。</w:t>
      </w:r>
    </w:p>
    <w:p>
      <w:pPr>
        <w:pStyle w:val="2"/>
        <w:numPr>
          <w:ilvl w:val="0"/>
          <w:numId w:val="0"/>
        </w:num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     </w:t>
      </w:r>
      <w:r>
        <w:drawing>
          <wp:inline distT="0" distB="0" distL="114300" distR="114300">
            <wp:extent cx="4596765" cy="3001010"/>
            <wp:effectExtent l="4445" t="4445" r="8890" b="23495"/>
            <wp:docPr id="2" name="图表 1" descr="7b0a202020202263686172745265734964223a20223230343735353931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四、一般公共预算拨款支出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2024年本单位一般公共预算拨款支出234.67万元，其中：社会保障和就业支出25.54万元，占10.88%；卫生健康支出7.22万元，占3.08%；农林水支出190.41万元，占81.14%；住房保障支出11.50万元，占4.9%。具体安排情况如下：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（一）基本支出：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2024年本单位基本支出预算数159.47万元，主要是为保障单位正常运转、完成日常工作任务而发生的各项支出，包括用于基本工资、津贴补贴等人员经费以及办公费、印刷费、水电费、办公设备购置等公用经费。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（二）项目支出：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项目支出预算75.2万元，主要是本单位为完成特定工作任务或事业发展目标而发生的支出，包括有关事业发展专项、专项业务费、基本建设支出等，其中：农林水支出75.2万元，主要内容为农机服务专项42万元，主要用于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插机抛秧作业等方面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和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农机安全网络建设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，业务工作经费33.2万元，主要用于</w:t>
      </w:r>
      <w:r>
        <w:rPr>
          <w:rFonts w:hint="eastAsia" w:eastAsia="仿宋_GB2312"/>
          <w:sz w:val="32"/>
          <w:szCs w:val="32"/>
          <w:u w:val="none"/>
          <w:lang w:val="en-US" w:eastAsia="zh-CN"/>
        </w:rPr>
        <w:t>开展专项业务工作开支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等方面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。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五、政府性基金预算支出</w:t>
      </w:r>
    </w:p>
    <w:p>
      <w:pPr>
        <w:ind w:firstLine="640" w:firstLineChars="200"/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2024年度本单位无政府性基金安排的支出，所以公开的附件15-17（政府性基金预算）为空。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六、其他重要事项的情况说明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（一）机关运行经费：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2024年农业机械服务中心机关运行经费19.32万元，比上年预算上升24.65%。主要原因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是增加了3名工作人员，导致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公用经费预算增加。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（二）“三公”经费预算：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“三公”经费预算数为3.24万元，其中，公务接待费0.24万元，公务用车购置及运行费0万元（其中，公务用车购置费0万元，公务用车运行费3万元），因公出国（境）费0万元。2024年“三公”经费预算较2023年减少0.6万元，主要原因是主要是严格落实中央“八项规定”精神和“过紧日子”的要求，从严控制“三公”经费支出。</w:t>
      </w:r>
      <w:bookmarkStart w:id="1" w:name="DIS_MARK_IS_ZERO_06_2"/>
      <w:bookmarkEnd w:id="1"/>
      <w:bookmarkStart w:id="2" w:name="END_IS_ZERO_06_1"/>
      <w:bookmarkEnd w:id="2"/>
      <w:bookmarkStart w:id="3" w:name="START_IS_ZERO_06_2"/>
      <w:bookmarkEnd w:id="3"/>
      <w:bookmarkStart w:id="4" w:name="END_IS_ZERO_06_2"/>
      <w:bookmarkEnd w:id="4"/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（三）一般性支出情况：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2024年本单位会议费预算0万元，拟召开0次会议，人数0人；培训费预算0万元，拟开展0次培训，人数0人；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2024年度本</w:t>
      </w:r>
      <w:r>
        <w:rPr>
          <w:rFonts w:hint="eastAsia" w:ascii="仿宋_GB2312" w:hAnsi="仿宋_GB2312" w:eastAsia="仿宋_GB2312" w:cs="仿宋_GB2312"/>
          <w:color w:val="000000"/>
          <w:kern w:val="2"/>
          <w:sz w:val="36"/>
          <w:szCs w:val="36"/>
          <w:shd w:val="clear" w:color="auto" w:fill="FFFFFF"/>
          <w:lang w:val="en-US" w:eastAsia="zh-CN" w:bidi="ar-SA"/>
        </w:rPr>
        <w:t>部门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未计划举办节庆、晚会、论坛、赛事活动，经费预算0万元。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（四）政府采购情况：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2024年本单位政府采购预算总额5万元，其中，货物类采购预算2万元；工程类采购预算0万元；服务类采购预算3万元。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（五）国有资产占用使用及新增资产配置情况：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截至2023年12月底，本单位共有公务用车1辆，其中，机要通信用车0辆，应急保障用车0辆，执法执勤用车1辆，特种专业技术用车0辆，其他按照规定配备的公务用车0辆；单位价值50万元以上设备0台，其中，单位价值100万元以上设备0台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2024年拟新增配置公务用车0辆，其中，机要通信用车0辆，应急保障用车0辆，执法执勤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用车0辆，特种专业技术用车0辆，其他按照规定配备的公务用车0辆；新增配备单位价值50万元以上设备0台，其中，单位价值100万元以上设备0台。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（六）预算绩效目标说明：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本单位所有支出实行绩效目标管理。纳入2024年单位整体支出绩效目标的金额为234.67万元，其中，基本支出159.47万元，项目支出75.2万元，具体绩效目标详见文尾附表中部门预算公开表21-22表。</w:t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七、名词解释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1．机关运行经费：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2．“三公”经费：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纳入省（市/县）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支出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  <w:bookmarkStart w:id="5" w:name="_GoBack"/>
      <w:bookmarkEnd w:id="5"/>
      <w:r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  <w:t>第二部分  2024年部门预算公开表格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1、收支总表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2、收入总表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3、支出总表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4、支出预算分类汇总表（按政府预算经济分类）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5、支出预算分类汇总表（按部门预算经济分类）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6、财政拨款收支总表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7、一般公共预算支出表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8、一般公共预算基本支出表-人员经费（工资福利支出）（按政府预算经济分类）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9、一般公共预算基本支出表-人员经费（工资福利支出）（按部门预算经济分类）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10、一般公共预算基本支出表-人员经费（对个人和家庭的补助）（按政府预算经济分类）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11、一般公共预算基本支出表-人员经费（对个人和家庭的补助）（按部门预算经济分类）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12、一般公共预算基本支出表-公用经费（商品和服务支出）（按政府预算经济分类）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13、一般公共预算基本支出表-公用经费（商品和服务支出）（按部门预算经济分类）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14、一般公共预算“三公”经费支出表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15、政府性基金预算支出表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16、政府性基金预算支出分类汇总表（按政府预算经济分类）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17、政府性基金预算支出分类汇总表（按部门预算经济分类）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18、国有资本经营预算支出表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19、财政专户管理资金预算支出表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20、专项资金预算汇总表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21、项目支出绩效目标表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22、部门整体支出绩效目标表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23、一般公共预算基本支出表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注：以上部门预算公开报表中，空表表示本单位无相关收支情况。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附件：岳阳市君山区农业机械服务中心2024年部门预算公开表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仿宋_GB2312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7CC3CBB"/>
    <w:multiLevelType w:val="singleLevel"/>
    <w:tmpl w:val="57CC3CBB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k0MzkxYTllNGUzYWMwZmMyNjFiNTViYzNiYzdlYTAifQ=="/>
  </w:docVars>
  <w:rsids>
    <w:rsidRoot w:val="637274E6"/>
    <w:rsid w:val="01EC3E90"/>
    <w:rsid w:val="02140C7A"/>
    <w:rsid w:val="024261A6"/>
    <w:rsid w:val="046523F8"/>
    <w:rsid w:val="05847AF4"/>
    <w:rsid w:val="088363E7"/>
    <w:rsid w:val="0AD8381E"/>
    <w:rsid w:val="0B172D74"/>
    <w:rsid w:val="0B5218A1"/>
    <w:rsid w:val="0B653E82"/>
    <w:rsid w:val="0D646FD0"/>
    <w:rsid w:val="0E042561"/>
    <w:rsid w:val="0E3F3599"/>
    <w:rsid w:val="0F2A3A2C"/>
    <w:rsid w:val="10797237"/>
    <w:rsid w:val="16042156"/>
    <w:rsid w:val="16247C45"/>
    <w:rsid w:val="167C1082"/>
    <w:rsid w:val="192632E6"/>
    <w:rsid w:val="1B6F1962"/>
    <w:rsid w:val="1C744CBF"/>
    <w:rsid w:val="1C914169"/>
    <w:rsid w:val="1DA84CB7"/>
    <w:rsid w:val="1F572E39"/>
    <w:rsid w:val="1F8154A2"/>
    <w:rsid w:val="1FD44489"/>
    <w:rsid w:val="20034AD4"/>
    <w:rsid w:val="218B749C"/>
    <w:rsid w:val="21A146F0"/>
    <w:rsid w:val="22767EB0"/>
    <w:rsid w:val="22861ED8"/>
    <w:rsid w:val="27562CA6"/>
    <w:rsid w:val="286F1B1C"/>
    <w:rsid w:val="28C130D1"/>
    <w:rsid w:val="28D15A0A"/>
    <w:rsid w:val="28D728F5"/>
    <w:rsid w:val="2A5727A7"/>
    <w:rsid w:val="2B3247EE"/>
    <w:rsid w:val="2DC518B5"/>
    <w:rsid w:val="2E89643F"/>
    <w:rsid w:val="2E9372BE"/>
    <w:rsid w:val="2EFE507F"/>
    <w:rsid w:val="2F37426F"/>
    <w:rsid w:val="30F54535"/>
    <w:rsid w:val="328F1D91"/>
    <w:rsid w:val="36214EDF"/>
    <w:rsid w:val="395E7E49"/>
    <w:rsid w:val="398C704B"/>
    <w:rsid w:val="39E76710"/>
    <w:rsid w:val="3A486D41"/>
    <w:rsid w:val="3BAE1BDB"/>
    <w:rsid w:val="3CB10683"/>
    <w:rsid w:val="3E285C74"/>
    <w:rsid w:val="3E4B1963"/>
    <w:rsid w:val="40731651"/>
    <w:rsid w:val="40BA4B7E"/>
    <w:rsid w:val="42E3660E"/>
    <w:rsid w:val="4601059C"/>
    <w:rsid w:val="4602087F"/>
    <w:rsid w:val="4748485A"/>
    <w:rsid w:val="4AFC64BF"/>
    <w:rsid w:val="4BBE358A"/>
    <w:rsid w:val="4E514D65"/>
    <w:rsid w:val="4EE728E7"/>
    <w:rsid w:val="4F0307B2"/>
    <w:rsid w:val="4F302902"/>
    <w:rsid w:val="51154C9C"/>
    <w:rsid w:val="52077AEA"/>
    <w:rsid w:val="52B61649"/>
    <w:rsid w:val="53394028"/>
    <w:rsid w:val="55E76771"/>
    <w:rsid w:val="57244E05"/>
    <w:rsid w:val="58AA6296"/>
    <w:rsid w:val="58AF2EC0"/>
    <w:rsid w:val="5A13112F"/>
    <w:rsid w:val="5AC44B23"/>
    <w:rsid w:val="5BC30933"/>
    <w:rsid w:val="5DC12353"/>
    <w:rsid w:val="60B42209"/>
    <w:rsid w:val="635E5443"/>
    <w:rsid w:val="637274E6"/>
    <w:rsid w:val="63AD4F94"/>
    <w:rsid w:val="63E65795"/>
    <w:rsid w:val="64841AB8"/>
    <w:rsid w:val="65B57FA7"/>
    <w:rsid w:val="6618187B"/>
    <w:rsid w:val="675A13CF"/>
    <w:rsid w:val="682C3048"/>
    <w:rsid w:val="6B1B73BC"/>
    <w:rsid w:val="6B67752D"/>
    <w:rsid w:val="6C9A56E0"/>
    <w:rsid w:val="6EF74724"/>
    <w:rsid w:val="6F4B168B"/>
    <w:rsid w:val="70F118E0"/>
    <w:rsid w:val="71704C61"/>
    <w:rsid w:val="719F6C19"/>
    <w:rsid w:val="78CC0C1A"/>
    <w:rsid w:val="7A590988"/>
    <w:rsid w:val="7AE949AB"/>
    <w:rsid w:val="7D266D66"/>
    <w:rsid w:val="7E7E5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  <w:rPr>
      <w:szCs w:val="20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Hyperlink"/>
    <w:basedOn w:val="5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istrator\Desktop\Book1.xlsx" TargetMode="External"/></Relationships>
</file>

<file path=word/charts/_rels/chart2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microsoft.com/office/2011/relationships/chartStyle" Target="style1.xml"/><Relationship Id="rId1" Type="http://schemas.openxmlformats.org/officeDocument/2006/relationships/oleObject" Target="file:///C:\Users\Administrator\Desktop\&#25910;&#20837;&#39044;&#31639;&#22270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800" b="1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r>
              <a:t>收入预算图</a:t>
            </a:r>
          </a:p>
        </c:rich>
      </c:tx>
      <c:layout/>
      <c:overlay val="0"/>
    </c:title>
    <c:autoTitleDeleted val="0"/>
    <c:plotArea>
      <c:layout/>
      <c:pieChart>
        <c:varyColors val="1"/>
        <c:ser>
          <c:idx val="0"/>
          <c:order val="0"/>
          <c:explosion val="0"/>
          <c:dPt>
            <c:idx val="0"/>
            <c:bubble3D val="0"/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/>
              </c:ext>
            </c:extLst>
          </c:dLbls>
          <c:cat>
            <c:strRef>
              <c:f>[Book1.xlsx]Sheet1!$A$6</c:f>
              <c:strCache>
                <c:ptCount val="1"/>
                <c:pt idx="0">
                  <c:v>一般公共预算拨款收入</c:v>
                </c:pt>
              </c:strCache>
            </c:strRef>
          </c:cat>
          <c:val>
            <c:numRef>
              <c:f>[Book1.xlsx]Sheet1!$A$7</c:f>
              <c:numCache>
                <c:formatCode>0%</c:formatCode>
                <c:ptCount val="1"/>
                <c:pt idx="0">
                  <c:v>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legend>
      <c:legendPos val="r"/>
      <c:layout>
        <c:manualLayout>
          <c:xMode val="edge"/>
          <c:yMode val="edge"/>
          <c:x val="0.700737532808399"/>
          <c:y val="0.0547878390201225"/>
          <c:w val="0.236068022747157"/>
          <c:h val="0.307090988626422"/>
        </c:manualLayout>
      </c:layout>
      <c:overlay val="0"/>
      <c:txPr>
        <a:bodyPr rot="0" spcFirstLastPara="0" vertOverflow="ellipsis" vert="horz" wrap="square" anchor="ctr" anchorCtr="1"/>
        <a:lstStyle/>
        <a:p>
          <a:pPr>
            <a:defRPr lang="zh-CN" sz="1000" b="0" i="0" u="none" strike="noStrike" kern="1200" baseline="0">
              <a:solidFill>
                <a:schemeClr val="tx1"/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txPr>
    <a:bodyPr/>
    <a:lstStyle/>
    <a:p>
      <a:pPr>
        <a:defRPr lang="zh-CN"/>
      </a:pPr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>
              <a:defRPr lang="zh-CN" sz="14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t>支出预算图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effectLst/>
      </c:spPr>
    </c:floor>
    <c:sideWall>
      <c:thickness val="0"/>
      <c:spPr>
        <a:noFill/>
        <a:effectLst/>
      </c:spPr>
    </c:sideWall>
    <c:backWall>
      <c:thickness val="0"/>
      <c:spPr>
        <a:noFill/>
        <a:effectLst/>
      </c:spPr>
    </c:backWall>
    <c:plotArea>
      <c:layout>
        <c:manualLayout>
          <c:layoutTarget val="inner"/>
          <c:xMode val="edge"/>
          <c:yMode val="edge"/>
          <c:x val="0.115753557121149"/>
          <c:y val="0.365522640710961"/>
          <c:w val="0.826511949164249"/>
          <c:h val="0.612797291578502"/>
        </c:manualLayout>
      </c:layout>
      <c:pie3DChart>
        <c:varyColors val="1"/>
        <c:ser>
          <c:idx val="0"/>
          <c:order val="0"/>
          <c:spPr>
            <a:scene3d>
              <a:camera prst="orthographicFront"/>
              <a:lightRig rig="threePt" dir="t"/>
            </a:scene3d>
            <a:sp3d contourW="9525"/>
          </c:spPr>
          <c:explosion val="0"/>
          <c:dPt>
            <c:idx val="0"/>
            <c:bubble3D val="0"/>
            <c:spPr>
              <a:gradFill>
                <a:gsLst>
                  <a:gs pos="100000">
                    <a:schemeClr val="accent1"/>
                  </a:gs>
                  <a:gs pos="0">
                    <a:schemeClr val="accent1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1">
                        <a:lumMod val="75000"/>
                      </a:schemeClr>
                    </a:gs>
                    <a:gs pos="0">
                      <a:schemeClr val="accent1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1"/>
            <c:bubble3D val="0"/>
            <c:spPr>
              <a:gradFill>
                <a:gsLst>
                  <a:gs pos="100000">
                    <a:schemeClr val="accent2"/>
                  </a:gs>
                  <a:gs pos="0">
                    <a:schemeClr val="accent2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2">
                        <a:lumMod val="75000"/>
                      </a:schemeClr>
                    </a:gs>
                    <a:gs pos="0">
                      <a:schemeClr val="accent2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2"/>
            <c:bubble3D val="0"/>
            <c:spPr>
              <a:gradFill>
                <a:gsLst>
                  <a:gs pos="100000">
                    <a:schemeClr val="accent3"/>
                  </a:gs>
                  <a:gs pos="0">
                    <a:schemeClr val="accent3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3">
                        <a:lumMod val="75000"/>
                      </a:schemeClr>
                    </a:gs>
                    <a:gs pos="0">
                      <a:schemeClr val="accent3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3"/>
            <c:bubble3D val="0"/>
            <c:spPr>
              <a:gradFill>
                <a:gsLst>
                  <a:gs pos="100000">
                    <a:schemeClr val="accent4"/>
                  </a:gs>
                  <a:gs pos="0">
                    <a:schemeClr val="accent4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4">
                        <a:lumMod val="75000"/>
                      </a:schemeClr>
                    </a:gs>
                    <a:gs pos="0">
                      <a:schemeClr val="accent4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4"/>
            <c:bubble3D val="0"/>
            <c:spPr>
              <a:gradFill>
                <a:gsLst>
                  <a:gs pos="100000">
                    <a:schemeClr val="accent5"/>
                  </a:gs>
                  <a:gs pos="0">
                    <a:schemeClr val="accent5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5">
                        <a:lumMod val="75000"/>
                      </a:schemeClr>
                    </a:gs>
                    <a:gs pos="0">
                      <a:schemeClr val="accent5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  <a:scene3d>
                <a:camera prst="orthographicFront"/>
                <a:lightRig rig="threePt" dir="t"/>
              </a:scene3d>
              <a:sp3d contourW="9525"/>
            </c:spPr>
          </c:dPt>
          <c:dPt>
            <c:idx val="5"/>
            <c:bubble3D val="0"/>
            <c:spPr>
              <a:gradFill>
                <a:gsLst>
                  <a:gs pos="100000">
                    <a:schemeClr val="accent6"/>
                  </a:gs>
                  <a:gs pos="0">
                    <a:schemeClr val="accent6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6">
                        <a:lumMod val="75000"/>
                      </a:schemeClr>
                    </a:gs>
                    <a:gs pos="0">
                      <a:schemeClr val="accent6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  <a:scene3d>
                <a:camera prst="orthographicFront"/>
                <a:lightRig rig="threePt" dir="t"/>
              </a:scene3d>
              <a:sp3d contourW="9525"/>
            </c:spPr>
          </c:dPt>
          <c:dLbls>
            <c:dLbl>
              <c:idx val="0"/>
              <c:layout>
                <c:manualLayout>
                  <c:x val="-0.210317907097634"/>
                  <c:y val="-0.0356061697956216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0.192287838975576"/>
                  <c:y val="0.0165572784738961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0.107291854650271"/>
                  <c:y val="-0.116992867790304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0.432334484273819"/>
                  <c:y val="0.156968811849895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-0.149191877331123"/>
                  <c:y val="-0.215827338129496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numFmt formatCode="0.00%" sourceLinked="0"/>
            <c:spPr>
              <a:solidFill>
                <a:sysClr val="window" lastClr="FFFFFF"/>
              </a:solidFill>
              <a:ln>
                <a:solidFill>
                  <a:sysClr val="windowText" lastClr="000000">
                    <a:lumMod val="65000"/>
                    <a:lumOff val="35000"/>
                  </a:sysClr>
                </a:solidFill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outEnd"/>
            <c:showLegendKey val="0"/>
            <c:showVal val="0"/>
            <c:showCatName val="1"/>
            <c:showSerName val="0"/>
            <c:showPercent val="1"/>
            <c:showBubbleSize val="0"/>
            <c:separator> </c:separator>
            <c:showLeaderLines val="1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oundRect">
                    <a:avLst/>
                  </a:prstGeom>
                  <a:noFill/>
                  <a:ln>
                    <a:noFill/>
                  </a:ln>
                </c15:spPr>
                <c15:layout/>
                <c15:showLeaderLines val="1"/>
                <c15:leaderLines>
                  <c:spPr>
                    <a:ln w="9525">
                      <a:solidFill>
                        <a:schemeClr val="dk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[收入预算图.xlsx]Sheet1!$B$2:$B$7</c:f>
              <c:strCache>
                <c:ptCount val="6"/>
                <c:pt idx="0">
                  <c:v>社会保障和就业支出</c:v>
                </c:pt>
                <c:pt idx="1">
                  <c:v>卫生健康支出</c:v>
                </c:pt>
                <c:pt idx="3">
                  <c:v>住房保障支出</c:v>
                </c:pt>
                <c:pt idx="5">
                  <c:v>农林水支出</c:v>
                </c:pt>
              </c:strCache>
            </c:strRef>
          </c:cat>
          <c:val>
            <c:numRef>
              <c:f>[收入预算图.xlsx]Sheet1!$C$2:$C$7</c:f>
              <c:numCache>
                <c:formatCode>0.00%</c:formatCode>
                <c:ptCount val="6"/>
                <c:pt idx="0">
                  <c:v>0.1088</c:v>
                </c:pt>
                <c:pt idx="1">
                  <c:v>0.0308</c:v>
                </c:pt>
                <c:pt idx="3">
                  <c:v>0.049</c:v>
                </c:pt>
                <c:pt idx="5">
                  <c:v>0.8114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</c:dLbls>
      </c:pie3DChart>
      <c:spPr>
        <a:noFill/>
        <a:ln>
          <a:noFill/>
        </a:ln>
        <a:effectLst/>
      </c:spPr>
    </c:plotArea>
    <c:legend>
      <c:legendPos val="t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lt1">
        <a:lumMod val="96000"/>
      </a:schemeClr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10097">
  <cs:axisTitle>
    <cs:lnRef idx="0"/>
    <cs:fillRef idx="0"/>
    <cs:effectRef idx="0"/>
    <cs:fontRef idx="minor">
      <a:schemeClr val="dk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dk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lt1">
          <a:lumMod val="96000"/>
        </a:schemeClr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10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10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>
      <cs:styleClr val="auto"/>
    </cs:lnRef>
    <cs:fillRef idx="0">
      <cs:styleClr val="auto"/>
    </cs:fillRef>
    <cs:effectRef idx="0"/>
    <cs:fontRef idx="minor">
      <a:schemeClr val="dk1"/>
    </cs:fontRef>
    <cs:spPr>
      <a:gradFill>
        <a:gsLst>
          <a:gs pos="100000">
            <a:schemeClr val="phClr"/>
          </a:gs>
          <a:gs pos="0">
            <a:schemeClr val="phClr">
              <a:hueOff val="-1670000"/>
            </a:schemeClr>
          </a:gs>
        </a:gsLst>
        <a:lin ang="5400000" scaled="0"/>
      </a:gradFill>
      <a:ln>
        <a:gradFill>
          <a:gsLst>
            <a:gs pos="100000">
              <a:schemeClr val="phClr">
                <a:lumMod val="75000"/>
              </a:schemeClr>
            </a:gs>
            <a:gs pos="0">
              <a:schemeClr val="phClr">
                <a:lumMod val="75000"/>
                <a:hueOff val="-1670000"/>
              </a:schemeClr>
            </a:gs>
          </a:gsLst>
          <a:lin ang="4620000" scaled="0"/>
        </a:gradFill>
      </a:ln>
      <a:effectLst/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65000"/>
        <a:lumOff val="35000"/>
      </a:schemeClr>
    </cs:fontRef>
    <cs:spPr>
      <a:noFill/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02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75000"/>
            <a:lumOff val="25000"/>
          </a:schemeClr>
        </a:solidFill>
      </a:ln>
    </cs:spPr>
  </cs:hiLoLine>
  <cs:leader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400" b="1" kern="120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12</Pages>
  <Words>3554</Words>
  <Characters>3839</Characters>
  <Lines>0</Lines>
  <Paragraphs>0</Paragraphs>
  <TotalTime>2</TotalTime>
  <ScaleCrop>false</ScaleCrop>
  <LinksUpToDate>false</LinksUpToDate>
  <CharactersWithSpaces>3848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2024-05-22T14:39:00Z</dcterms:created>
  <dc:creator>dell</dc:creator>
  <cp:lastModifiedBy>Administrator</cp:lastModifiedBy>
  <dcterms:modified xsi:type="dcterms:W3CDTF">2024-06-20T14:07:09Z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496DCED67E1D47058076F75C55939358_13</vt:lpwstr>
  </property>
</Properties>
</file>