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君山区农村经营服务站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>
      <w:pPr>
        <w:jc w:val="center"/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both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eastAsia="黑体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君山区</w:t>
      </w:r>
      <w:r>
        <w:rPr>
          <w:rFonts w:hint="eastAsia" w:eastAsia="仿宋_GB2312"/>
          <w:sz w:val="32"/>
          <w:szCs w:val="32"/>
          <w:lang w:val="en-US" w:eastAsia="zh-CN"/>
        </w:rPr>
        <w:t>农村经营服务站</w:t>
      </w:r>
      <w:r>
        <w:rPr>
          <w:rFonts w:hint="eastAsia" w:eastAsia="仿宋_GB2312"/>
          <w:sz w:val="32"/>
          <w:szCs w:val="32"/>
        </w:rPr>
        <w:t>主要</w:t>
      </w:r>
      <w:r>
        <w:rPr>
          <w:rFonts w:hint="eastAsia" w:eastAsia="仿宋_GB2312"/>
          <w:sz w:val="32"/>
          <w:szCs w:val="32"/>
          <w:lang w:val="en-US" w:eastAsia="zh-CN"/>
        </w:rPr>
        <w:t>负责农村经营管理方面的指导；负责农村土地承包合同管理、经营权流转和宅基地管理工作；负责村级组织“三资”监督管理工作；负责惠农减负政策落实和监督管理；负责农民专业合作社发展的相关工作及农垦事务管理等工作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开展农村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宅基地管理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工作，加强农村土地承包管理,依法落实和维护农民承包土地的各项权利。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负责村级组织“三资”监督管理工作，提出加强村级组织资产、资源、资金等“三资”管理的相关政策建设，并指导实施。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充分发挥管理农村经济的职能作用，加大农村集体经济的监督和管理力度。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负责农民专业合作社发展和业务指导、组织协调、试点示范、项目扶持、信息服务和培训工作，研究提出农民专业合作社发展的政策建议，并督促落实。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依据《湖南省农村集体经济组织审计办法》对全区的村集体经济组织的财务审计进行指导和督促。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农民负担监督管理，负责惠农减负政策落实和监督管理，研究提出相关政策建设，并监督实施；承担村民“一事一议”筹资筹劳管理和一事一议财政奖补政策的落实和监管工作。</w:t>
      </w:r>
    </w:p>
    <w:p>
      <w:pPr>
        <w:widowControl/>
        <w:spacing w:line="600" w:lineRule="exact"/>
        <w:ind w:firstLine="627" w:firstLineChars="196"/>
        <w:rPr>
          <w:rFonts w:eastAsia="楷体_GB2312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承办区委、区政府交办的其他事项。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600" w:lineRule="exact"/>
        <w:ind w:firstLine="627" w:firstLineChars="196"/>
        <w:rPr>
          <w:rFonts w:eastAsia="楷体_GB2312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有办公室、农村经济合作指导股、农民负担监督股与土地承包股4个内设机构和农村土地承包经营纠纷仲裁庭、农村财务审计站、君山区土地流转服务中心等3个非独立核算二级机构。现有人数26人，其中：在职19人，退休7人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bookmarkStart w:id="0" w:name="DEPT_COMPOSE"/>
      <w:r>
        <w:rPr>
          <w:rFonts w:hint="eastAsia" w:eastAsia="仿宋_GB2312"/>
          <w:sz w:val="32"/>
          <w:szCs w:val="32"/>
          <w:lang w:eastAsia="zh-CN"/>
        </w:rPr>
        <w:t>岳阳市</w:t>
      </w:r>
      <w:r>
        <w:rPr>
          <w:rFonts w:hint="eastAsia" w:eastAsia="仿宋_GB2312"/>
          <w:sz w:val="32"/>
          <w:szCs w:val="32"/>
        </w:rPr>
        <w:t>君山区</w:t>
      </w:r>
      <w:r>
        <w:rPr>
          <w:rFonts w:hint="eastAsia" w:eastAsia="仿宋_GB2312"/>
          <w:sz w:val="32"/>
          <w:szCs w:val="32"/>
          <w:lang w:val="en-US" w:eastAsia="zh-CN"/>
        </w:rPr>
        <w:t>农村经营服务站部门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只有本级，没有其他二级预算单位，因此，纳入2024年部门预算编制范围的只有</w:t>
      </w:r>
      <w:r>
        <w:rPr>
          <w:rFonts w:hint="eastAsia" w:eastAsia="仿宋_GB2312"/>
          <w:sz w:val="32"/>
          <w:szCs w:val="32"/>
          <w:lang w:eastAsia="zh-CN"/>
        </w:rPr>
        <w:t>岳阳市</w:t>
      </w:r>
      <w:r>
        <w:rPr>
          <w:rFonts w:hint="eastAsia" w:eastAsia="仿宋_GB2312"/>
          <w:sz w:val="32"/>
          <w:szCs w:val="32"/>
        </w:rPr>
        <w:t>君山区</w:t>
      </w:r>
      <w:r>
        <w:rPr>
          <w:rFonts w:hint="eastAsia" w:eastAsia="仿宋_GB2312"/>
          <w:sz w:val="32"/>
          <w:szCs w:val="32"/>
          <w:lang w:val="en-US" w:eastAsia="zh-CN"/>
        </w:rPr>
        <w:t>农村经营服务站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本级。</w:t>
      </w:r>
      <w:bookmarkEnd w:id="0"/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部门收支总体情况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部门2024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包括一般公共预算、政府性基金、国有资本经营预算等财政拨款收入，以及经营收入、事业收入等单位资金。2024年本部门收入预算529.49万元，其中，一般公共预算拨款529.49万元，政府性基金预算资金0.00万元(所以公开的附件15-17表为空)，国有资本经营预算资金0.00万元(所以公开的附件18表为空)，财政专户管理资金0.00万元(所以公开的附件19表为空)，上级补助收入资金0.00万元，事业单位经营收入资金0.00万元，上年结转结余0.00万元。收入较上年减少1395.63万元，下降72.5%。主要原因是君山农垦集团非税收入减少，未纳入本单位预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Chars="200"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leftChars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支出预算529.49万元，其中：社会保障和就业支出41.57万元，卫生健康支出13.47万元，农林水支出452.39万元，住房保障支出22.06万元。支出较上年减少1395.63万元，下降72.5%。主要原因是君山农垦集团非税收入减少，未纳入本单位预算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rightChars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2024年本部门一般公共预算拨款支出529.49万元，其中：社会保障和就业支出41.57万元，占7.85%；卫生健康支出13.47万元，占2.54%；农林水支出452.39万元，占85.44%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住房保障支出22.06万元，占4.17%。具体安排情况如下：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2024年本部门基本支出预算数290.29万元，主要是为保障部门正常运转、完成日常工作任务而发生的各项支出，包括用于基本工资、津贴补贴等人员经费以及办公费、印刷费、水电费、办公设备购置等公用经费。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项目支出预算239.2万元，主要是本部门为完成特定工作任务或事业发展目标而发生的支出，包括农村经营专项、业务工作经费等，其中：农林水支出239.2万元，主要内容为事业支出159.2万元，主要用于完成本部门2024年度农村土地流转、宅基地管理、农民负担监督管理、发展壮大集体经济等方面。农村经营专项支出80万元，主要用于农民专业合作社发展扶持及发展壮大村级集体经济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2024年度本部门无政府性基金安排的支出，所以公开的附件15-17表（政府性基金预算）为空。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2024年君山区农村经营服务站部门机关运行经费29.34万元，比上年预算下降22.83%。主要原因是2023年有1名工作人员调出，造成公用经费预算减少。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“三公”经费预算数为1万元，其中，公务接待费1万元，公务用车购置及运行费0万元（其中，公务用车购置费0万元，公务用车运行费0万元），因公出国（境）费0万元。2024年“三公”经费预算较2023年减少1.7万元，主要原因是严格落实中央“八项规定”精神和“过紧日子”的要求，从严控制“三公”经费支出。</w:t>
      </w:r>
      <w:bookmarkStart w:id="1" w:name="START_IS_ZERO_06_2"/>
      <w:bookmarkEnd w:id="1"/>
      <w:bookmarkStart w:id="2" w:name="DIS_MARK_IS_ZERO_06_2"/>
      <w:bookmarkEnd w:id="2"/>
      <w:bookmarkStart w:id="3" w:name="END_IS_ZERO_06_1"/>
      <w:bookmarkEnd w:id="3"/>
      <w:bookmarkStart w:id="4" w:name="END_IS_ZERO_06_2"/>
      <w:bookmarkEnd w:id="4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2024年本部门会议费预算1万元，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拟召开3会议，人数90人，内容为传达上级主管部门的文件和会议精神，部署相关工作等</w:t>
      </w:r>
      <w:r>
        <w:rPr>
          <w:rFonts w:eastAsia="仿宋_GB2312"/>
          <w:kern w:val="0"/>
          <w:sz w:val="32"/>
          <w:szCs w:val="32"/>
        </w:rPr>
        <w:t>；培训费预算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拟开展2次培训，人数80人，培训内容为农村新型经营主体能力提升培训</w:t>
      </w:r>
      <w:r>
        <w:rPr>
          <w:rFonts w:eastAsia="仿宋_GB2312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2024年度本部门未计划举办节庆、晚会、论坛、赛事活动，经费预算0万元。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2024年本部门政府采购预算总额37万元，其中，货物类采购预算12万元；工程类采购预算0万元；服务类采购预算25万元。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截至2023年12月底，本部门共有公务用车0辆，其中，机要通信用车0辆，应急保障用车0辆，执法执勤用车0辆，特种专业技术用车0辆，其他按照规定配备的公务用车0辆；单位价值50万元以上设备2台，单位价值100万元以上的设备1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本部门所有支出实行绩效目标管理。纳入2024年部门整体支出绩效目标的金额为529.49万元，其中，基本支出290.29万元，项目支出239.2万元，具体绩效目标详见文尾附表中部门预算公开表格的表21-22。</w:t>
      </w:r>
    </w:p>
    <w:p>
      <w:pPr>
        <w:widowControl/>
        <w:spacing w:line="570" w:lineRule="atLeast"/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</w:pPr>
      <w:bookmarkStart w:id="5" w:name="_GoBack"/>
      <w:bookmarkEnd w:id="5"/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</w:rPr>
        <w:t>第二部分  2024年部门预算公开表格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right="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附件：岳阳市君山区农村经营服务站2024年部门预算公开表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038EA"/>
    <w:multiLevelType w:val="singleLevel"/>
    <w:tmpl w:val="51103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0857C69"/>
    <w:rsid w:val="02412BCB"/>
    <w:rsid w:val="02FA7BB8"/>
    <w:rsid w:val="03631DE8"/>
    <w:rsid w:val="045237D7"/>
    <w:rsid w:val="05DE428D"/>
    <w:rsid w:val="05ED25F6"/>
    <w:rsid w:val="079242AE"/>
    <w:rsid w:val="085D0C84"/>
    <w:rsid w:val="0992531D"/>
    <w:rsid w:val="0A0D382D"/>
    <w:rsid w:val="0D2835D5"/>
    <w:rsid w:val="0ED939EE"/>
    <w:rsid w:val="0F084DC0"/>
    <w:rsid w:val="13385187"/>
    <w:rsid w:val="144178C3"/>
    <w:rsid w:val="152C5832"/>
    <w:rsid w:val="167C1082"/>
    <w:rsid w:val="168E55F8"/>
    <w:rsid w:val="16B94831"/>
    <w:rsid w:val="1706559C"/>
    <w:rsid w:val="18844C6D"/>
    <w:rsid w:val="1C744CBF"/>
    <w:rsid w:val="1CD25B13"/>
    <w:rsid w:val="1CE26164"/>
    <w:rsid w:val="1D6E31FC"/>
    <w:rsid w:val="1D7E40DE"/>
    <w:rsid w:val="1D85581C"/>
    <w:rsid w:val="1FD800E8"/>
    <w:rsid w:val="200307FA"/>
    <w:rsid w:val="20A420AE"/>
    <w:rsid w:val="22DF4F83"/>
    <w:rsid w:val="230C7214"/>
    <w:rsid w:val="24302B07"/>
    <w:rsid w:val="243D1BD3"/>
    <w:rsid w:val="256B3D61"/>
    <w:rsid w:val="264178B0"/>
    <w:rsid w:val="26962633"/>
    <w:rsid w:val="26E130FE"/>
    <w:rsid w:val="29C372D4"/>
    <w:rsid w:val="29EC6874"/>
    <w:rsid w:val="2A351017"/>
    <w:rsid w:val="2D6329A9"/>
    <w:rsid w:val="2DA53533"/>
    <w:rsid w:val="305B1762"/>
    <w:rsid w:val="305C2E10"/>
    <w:rsid w:val="3085088F"/>
    <w:rsid w:val="31A800DF"/>
    <w:rsid w:val="31D9603C"/>
    <w:rsid w:val="324A2389"/>
    <w:rsid w:val="32865768"/>
    <w:rsid w:val="328F1D91"/>
    <w:rsid w:val="32C66482"/>
    <w:rsid w:val="34521626"/>
    <w:rsid w:val="35683252"/>
    <w:rsid w:val="36BE748E"/>
    <w:rsid w:val="36CB7059"/>
    <w:rsid w:val="38D330D8"/>
    <w:rsid w:val="38E3475C"/>
    <w:rsid w:val="3951638D"/>
    <w:rsid w:val="3A242018"/>
    <w:rsid w:val="43666CD0"/>
    <w:rsid w:val="472973EE"/>
    <w:rsid w:val="477C3FDA"/>
    <w:rsid w:val="47E411CF"/>
    <w:rsid w:val="490966A2"/>
    <w:rsid w:val="496F41C2"/>
    <w:rsid w:val="4AD36F68"/>
    <w:rsid w:val="4B5D43D7"/>
    <w:rsid w:val="4BC03402"/>
    <w:rsid w:val="4DBF1A26"/>
    <w:rsid w:val="4EC2028E"/>
    <w:rsid w:val="4EE728E7"/>
    <w:rsid w:val="50447689"/>
    <w:rsid w:val="51B004D2"/>
    <w:rsid w:val="52A91D7A"/>
    <w:rsid w:val="54A70CC5"/>
    <w:rsid w:val="552729CB"/>
    <w:rsid w:val="56301712"/>
    <w:rsid w:val="5681523A"/>
    <w:rsid w:val="576A0C54"/>
    <w:rsid w:val="5A1535D7"/>
    <w:rsid w:val="5A380B96"/>
    <w:rsid w:val="5D7F32CE"/>
    <w:rsid w:val="5F3F29C6"/>
    <w:rsid w:val="60884CBD"/>
    <w:rsid w:val="60B230E1"/>
    <w:rsid w:val="62A44CA7"/>
    <w:rsid w:val="632A2CC8"/>
    <w:rsid w:val="636D1293"/>
    <w:rsid w:val="637274E6"/>
    <w:rsid w:val="63894210"/>
    <w:rsid w:val="662F72F1"/>
    <w:rsid w:val="6653072D"/>
    <w:rsid w:val="66B263EF"/>
    <w:rsid w:val="69175946"/>
    <w:rsid w:val="6B49147A"/>
    <w:rsid w:val="6C0749A4"/>
    <w:rsid w:val="6C1B6290"/>
    <w:rsid w:val="6C5E2742"/>
    <w:rsid w:val="6CB542C8"/>
    <w:rsid w:val="6CC62031"/>
    <w:rsid w:val="7076663E"/>
    <w:rsid w:val="70AE175A"/>
    <w:rsid w:val="70F92319"/>
    <w:rsid w:val="728C4B01"/>
    <w:rsid w:val="729A1F96"/>
    <w:rsid w:val="739C7F8F"/>
    <w:rsid w:val="73BE1EBD"/>
    <w:rsid w:val="74232EF6"/>
    <w:rsid w:val="748B04A5"/>
    <w:rsid w:val="74D47E83"/>
    <w:rsid w:val="753F0C2D"/>
    <w:rsid w:val="77DE623F"/>
    <w:rsid w:val="780559F0"/>
    <w:rsid w:val="78CC0C1A"/>
    <w:rsid w:val="791A5BDE"/>
    <w:rsid w:val="7C9338B5"/>
    <w:rsid w:val="7CA57EE2"/>
    <w:rsid w:val="7EBE525E"/>
    <w:rsid w:val="7F6D60FB"/>
    <w:rsid w:val="7F7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1609338306396"/>
          <c:y val="0.321087600507829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5">
                        <a:lumMod val="75000"/>
                      </a:schemeClr>
                    </a:gs>
                    <a:gs pos="0">
                      <a:schemeClr val="accent5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/>
                  </a:gs>
                  <a:gs pos="0">
                    <a:schemeClr val="accent6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6">
                        <a:lumMod val="75000"/>
                      </a:schemeClr>
                    </a:gs>
                    <a:gs pos="0">
                      <a:schemeClr val="accent6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  <a:scene3d>
                <a:camera prst="orthographicFront"/>
                <a:lightRig rig="threePt" dir="t"/>
              </a:scene3d>
              <a:sp3d contourW="9525"/>
            </c:spPr>
          </c:dPt>
          <c:dLbls>
            <c:dLbl>
              <c:idx val="0"/>
              <c:layout>
                <c:manualLayout>
                  <c:x val="-0.21860634472714"/>
                  <c:y val="-0.026084375466379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7291854650271"/>
                  <c:y val="-0.116992867790304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432334484273819"/>
                  <c:y val="0.156968811849895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[收入预算图.xlsx]Sheet1!$B$2:$B$7</c:f>
              <c:strCache>
                <c:ptCount val="6"/>
                <c:pt idx="0">
                  <c:v>社会保障和就业支出</c:v>
                </c:pt>
                <c:pt idx="1">
                  <c:v>卫生健康支出</c:v>
                </c:pt>
                <c:pt idx="3">
                  <c:v>住房保障支出</c:v>
                </c:pt>
                <c:pt idx="4">
                  <c:v>农林水支出</c:v>
                </c:pt>
              </c:strCache>
            </c:strRef>
          </c:cat>
          <c:val>
            <c:numRef>
              <c:f>[收入预算图.xlsx]Sheet1!$C$2:$C$7</c:f>
              <c:numCache>
                <c:formatCode>0.00%</c:formatCode>
                <c:ptCount val="6"/>
                <c:pt idx="0">
                  <c:v>0.0785000000000001</c:v>
                </c:pt>
                <c:pt idx="1">
                  <c:v>0.0254</c:v>
                </c:pt>
                <c:pt idx="3">
                  <c:v>0.0417</c:v>
                </c:pt>
                <c:pt idx="4">
                  <c:v>0.8544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3788</Words>
  <Characters>4069</Characters>
  <Lines>0</Lines>
  <Paragraphs>0</Paragraphs>
  <TotalTime>16</TotalTime>
  <ScaleCrop>false</ScaleCrop>
  <LinksUpToDate>false</LinksUpToDate>
  <CharactersWithSpaces>4075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2024-06-22T01:51:33Z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AA6161384DF4417F82CE6AEF8ABCBB2E_11</vt:lpwstr>
  </property>
</Properties>
</file>