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岳阳市君山区库区移民服务中心</w:t>
      </w:r>
    </w:p>
    <w:p>
      <w:pPr>
        <w:spacing w:line="57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2024年部门预算公开</w:t>
      </w:r>
    </w:p>
    <w:p>
      <w:pPr>
        <w:spacing w:line="570" w:lineRule="atLeast"/>
        <w:jc w:val="center"/>
        <w:rPr>
          <w:rFonts w:hint="eastAsia" w:ascii="方正小标宋简体" w:hAnsi="方正小标宋简体" w:eastAsia="方正小标宋简体" w:cs="方正小标宋简体"/>
          <w:b/>
          <w:bCs/>
          <w:sz w:val="44"/>
          <w:szCs w:val="44"/>
        </w:rPr>
      </w:pPr>
    </w:p>
    <w:p>
      <w:pPr>
        <w:spacing w:line="570" w:lineRule="atLeast"/>
        <w:jc w:val="center"/>
        <w:rPr>
          <w:rFonts w:hint="eastAsia" w:ascii="方正小标宋简体" w:hAnsi="方正小标宋简体" w:eastAsia="方正小标宋简体" w:cs="方正小标宋简体"/>
          <w:b/>
          <w:bCs/>
          <w:sz w:val="44"/>
          <w:szCs w:val="44"/>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eastAsia="黑体" w:asciiTheme="minorEastAsia" w:hAnsiTheme="minorEastAsia" w:cstheme="minorEastAsia"/>
          <w:sz w:val="28"/>
          <w:szCs w:val="28"/>
          <w:lang w:eastAsia="zh-CN"/>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widowControl/>
        <w:spacing w:line="600" w:lineRule="exact"/>
        <w:ind w:firstLine="640" w:firstLineChars="200"/>
        <w:jc w:val="left"/>
        <w:rPr>
          <w:rFonts w:eastAsia="仿宋_GB2312"/>
          <w:sz w:val="32"/>
          <w:szCs w:val="32"/>
        </w:rPr>
      </w:pPr>
      <w:r>
        <w:rPr>
          <w:rFonts w:hint="eastAsia" w:eastAsia="仿宋_GB2312"/>
          <w:sz w:val="32"/>
          <w:szCs w:val="32"/>
        </w:rPr>
        <w:t>岳阳市君山区库区移民服务中心系全额拨款的事业单位，宗旨和业务范围为贯彻实施党和国家的移民方针政策和法律法规；组织实施移民生产开发和基础设施建设；负责智力移民培训和移民资金会计核算；负责本区移民政策、法律法规的宣传落实。</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w:t>
      </w:r>
      <w:r>
        <w:rPr>
          <w:rFonts w:hint="eastAsia" w:eastAsia="仿宋_GB2312"/>
          <w:sz w:val="32"/>
          <w:szCs w:val="32"/>
        </w:rPr>
        <w:t>贯彻执行党和国家的移民工作方针、政策，按照区行政主管部门拟订的全区移民工作规章和方案抓好落实。</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w:t>
      </w:r>
      <w:r>
        <w:rPr>
          <w:rFonts w:hint="eastAsia" w:eastAsia="仿宋_GB2312"/>
          <w:sz w:val="32"/>
          <w:szCs w:val="32"/>
        </w:rPr>
        <w:t>积极探索移民服务的新机制，及时总结推广典型经验，优质高效地做好移民服务工作。</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3.</w:t>
      </w:r>
      <w:r>
        <w:rPr>
          <w:rFonts w:hint="eastAsia" w:eastAsia="仿宋_GB2312"/>
          <w:sz w:val="32"/>
          <w:szCs w:val="32"/>
        </w:rPr>
        <w:t>配合行政主管部门编制移民安置计划。协助做好新建大中型水利水电工程的移民安置规划的编制、初审；协助拟定大中型水库移民后期规划与库区、安置区基础设施建设规划；按主管部门要求，配合编制上报并组织实施年度移民安置、生产开发计划；协助上级主管部门管理由移民经费开支的移民开发工程项目，并做好督查验收。</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4.</w:t>
      </w:r>
      <w:r>
        <w:rPr>
          <w:rFonts w:hint="eastAsia" w:eastAsia="仿宋_GB2312"/>
          <w:sz w:val="32"/>
          <w:szCs w:val="32"/>
        </w:rPr>
        <w:t>协助行政主管部门拟订移民资金管理办法；按有关规定管理移民资金和资产；配合相关部门做好移民资金内部审计，会同有关部门对移民资金使用情况进行监督检查移民开发的有关统计工作。</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5.</w:t>
      </w:r>
      <w:r>
        <w:rPr>
          <w:rFonts w:hint="eastAsia" w:eastAsia="仿宋_GB2312"/>
          <w:sz w:val="32"/>
          <w:szCs w:val="32"/>
        </w:rPr>
        <w:t>落实已核定的直扶人口年检年审服务工作。</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6.</w:t>
      </w:r>
      <w:r>
        <w:rPr>
          <w:rFonts w:hint="eastAsia" w:eastAsia="仿宋_GB2312"/>
          <w:sz w:val="32"/>
          <w:szCs w:val="32"/>
        </w:rPr>
        <w:t>配合行政主管部门协调处理大中型水利水电工程迁入君山区的移民有关工作，指导其生活安置、生产和开发工作。</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7.</w:t>
      </w:r>
      <w:r>
        <w:rPr>
          <w:rFonts w:hint="eastAsia" w:eastAsia="仿宋_GB2312"/>
          <w:sz w:val="32"/>
          <w:szCs w:val="32"/>
        </w:rPr>
        <w:t>做好移民口粮补贴款的相关工作。</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8.</w:t>
      </w:r>
      <w:r>
        <w:rPr>
          <w:rFonts w:hint="eastAsia" w:eastAsia="仿宋_GB2312"/>
          <w:sz w:val="32"/>
          <w:szCs w:val="32"/>
        </w:rPr>
        <w:t>做好全区移民信访接待工作，做好库区、移民安置区的社会稳定工作。</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hint="eastAsia" w:eastAsia="仿宋_GB2312"/>
          <w:sz w:val="32"/>
          <w:szCs w:val="32"/>
        </w:rPr>
        <w:t>做好移民工作的政策与业务指导；做好全区移民干部移民实用技术和职业技能的培训工作。</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hint="eastAsia" w:eastAsia="仿宋_GB2312"/>
          <w:sz w:val="32"/>
          <w:szCs w:val="32"/>
        </w:rPr>
        <w:t>配合会同区直有关部门和各镇、街道办事处做好有关移民工作的协调和对口帮扶工作。</w:t>
      </w:r>
    </w:p>
    <w:p>
      <w:pPr>
        <w:widowControl/>
        <w:spacing w:line="600" w:lineRule="exact"/>
        <w:ind w:firstLine="640" w:firstLineChars="200"/>
        <w:jc w:val="left"/>
        <w:rPr>
          <w:rFonts w:eastAsia="楷体_GB2312"/>
          <w:b/>
          <w:sz w:val="32"/>
          <w:szCs w:val="32"/>
        </w:rPr>
      </w:pPr>
      <w:r>
        <w:rPr>
          <w:rFonts w:hint="eastAsia" w:eastAsia="仿宋_GB2312"/>
          <w:sz w:val="32"/>
          <w:szCs w:val="32"/>
          <w:lang w:val="en-US" w:eastAsia="zh-CN"/>
        </w:rPr>
        <w:t>11.</w:t>
      </w:r>
      <w:r>
        <w:rPr>
          <w:rFonts w:hint="eastAsia" w:eastAsia="仿宋_GB2312"/>
          <w:sz w:val="32"/>
          <w:szCs w:val="32"/>
        </w:rPr>
        <w:t>承办区委、区人民政府交办的其他事项。</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b/>
          <w:sz w:val="32"/>
          <w:szCs w:val="32"/>
          <w:highlight w:val="none"/>
          <w:lang w:eastAsia="zh-CN"/>
        </w:rPr>
      </w:pPr>
      <w:r>
        <w:rPr>
          <w:rFonts w:hint="eastAsia" w:eastAsia="仿宋_GB2312"/>
          <w:sz w:val="32"/>
          <w:szCs w:val="32"/>
          <w:lang w:val="en-US" w:eastAsia="zh-CN"/>
        </w:rPr>
        <w:t>岳阳市君山区库区移民服务中心内设4个</w:t>
      </w:r>
      <w:r>
        <w:rPr>
          <w:rFonts w:hint="eastAsia" w:eastAsia="仿宋_GB2312"/>
          <w:sz w:val="32"/>
          <w:szCs w:val="32"/>
        </w:rPr>
        <w:t>职能股室</w:t>
      </w:r>
      <w:r>
        <w:rPr>
          <w:rFonts w:hint="eastAsia" w:eastAsia="仿宋_GB2312"/>
          <w:sz w:val="32"/>
          <w:szCs w:val="32"/>
          <w:lang w:eastAsia="zh-CN"/>
        </w:rPr>
        <w:t>，</w:t>
      </w:r>
      <w:r>
        <w:rPr>
          <w:rFonts w:hint="eastAsia" w:eastAsia="仿宋_GB2312"/>
          <w:sz w:val="32"/>
          <w:szCs w:val="32"/>
          <w:lang w:val="en-US" w:eastAsia="zh-CN"/>
        </w:rPr>
        <w:t>分别为</w:t>
      </w:r>
      <w:r>
        <w:rPr>
          <w:rFonts w:hint="eastAsia" w:eastAsia="仿宋_GB2312"/>
          <w:kern w:val="2"/>
          <w:sz w:val="32"/>
          <w:szCs w:val="32"/>
        </w:rPr>
        <w:t>办公室</w:t>
      </w:r>
      <w:r>
        <w:rPr>
          <w:rFonts w:hint="eastAsia" w:ascii="仿宋" w:hAnsi="仿宋" w:eastAsia="仿宋"/>
          <w:color w:val="333333"/>
          <w:kern w:val="0"/>
          <w:sz w:val="32"/>
          <w:szCs w:val="32"/>
          <w:lang w:eastAsia="zh-CN"/>
        </w:rPr>
        <w:t>、</w:t>
      </w:r>
      <w:r>
        <w:rPr>
          <w:rFonts w:hint="eastAsia" w:eastAsia="仿宋_GB2312"/>
          <w:kern w:val="2"/>
          <w:sz w:val="32"/>
          <w:szCs w:val="32"/>
        </w:rPr>
        <w:t>事务股</w:t>
      </w:r>
      <w:r>
        <w:rPr>
          <w:rFonts w:hint="eastAsia" w:eastAsia="仿宋_GB2312"/>
          <w:kern w:val="2"/>
          <w:sz w:val="32"/>
          <w:szCs w:val="32"/>
          <w:lang w:eastAsia="zh-CN"/>
        </w:rPr>
        <w:t>、</w:t>
      </w:r>
      <w:r>
        <w:rPr>
          <w:rFonts w:hint="eastAsia" w:eastAsia="仿宋_GB2312"/>
          <w:kern w:val="2"/>
          <w:sz w:val="32"/>
          <w:szCs w:val="32"/>
        </w:rPr>
        <w:t>工程股</w:t>
      </w:r>
      <w:r>
        <w:rPr>
          <w:rFonts w:hint="eastAsia" w:eastAsia="仿宋_GB2312"/>
          <w:kern w:val="2"/>
          <w:sz w:val="32"/>
          <w:szCs w:val="32"/>
          <w:lang w:val="en-US" w:eastAsia="zh-CN"/>
        </w:rPr>
        <w:t>和财务</w:t>
      </w:r>
      <w:r>
        <w:rPr>
          <w:rFonts w:hint="eastAsia" w:eastAsia="仿宋_GB2312"/>
          <w:kern w:val="2"/>
          <w:sz w:val="32"/>
          <w:szCs w:val="32"/>
        </w:rPr>
        <w:t>股</w:t>
      </w:r>
      <w:r>
        <w:rPr>
          <w:rFonts w:hint="eastAsia" w:eastAsia="仿宋_GB2312"/>
          <w:kern w:val="2"/>
          <w:sz w:val="32"/>
          <w:szCs w:val="32"/>
          <w:lang w:eastAsia="zh-CN"/>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333333"/>
          <w:spacing w:val="0"/>
          <w:sz w:val="28"/>
          <w:szCs w:val="28"/>
          <w:shd w:val="clear" w:fill="FFFFFF"/>
        </w:rPr>
      </w:pPr>
      <w:bookmarkStart w:id="0" w:name="DEPT_COMPOSE"/>
      <w:r>
        <w:rPr>
          <w:rFonts w:hint="eastAsia" w:eastAsia="仿宋_GB2312"/>
          <w:sz w:val="32"/>
          <w:szCs w:val="32"/>
          <w:lang w:val="en-US" w:eastAsia="zh-CN"/>
        </w:rPr>
        <w:t>岳阳市君山区库区移民服务中心</w:t>
      </w:r>
      <w:r>
        <w:rPr>
          <w:rFonts w:hint="eastAsia" w:ascii="仿宋_GB2312" w:hAnsi="仿宋_GB2312" w:eastAsia="仿宋_GB2312" w:cs="仿宋_GB2312"/>
          <w:color w:val="000000"/>
          <w:kern w:val="2"/>
          <w:sz w:val="32"/>
          <w:szCs w:val="32"/>
          <w:shd w:val="clear" w:color="auto" w:fill="FFFFFF"/>
          <w:lang w:val="en-US" w:eastAsia="zh-CN" w:bidi="ar-SA"/>
        </w:rPr>
        <w:t>部门只有本级，没有其他二级预算单位，因此，纳入2024年部门预算编制范围的只有</w:t>
      </w:r>
      <w:r>
        <w:rPr>
          <w:rFonts w:hint="eastAsia" w:eastAsia="仿宋_GB2312"/>
          <w:sz w:val="32"/>
          <w:szCs w:val="32"/>
          <w:lang w:val="en-US" w:eastAsia="zh-CN"/>
        </w:rPr>
        <w:t>岳阳市君山区库区移民服务中心</w:t>
      </w:r>
      <w:r>
        <w:rPr>
          <w:rFonts w:hint="eastAsia" w:ascii="仿宋_GB2312" w:hAnsi="仿宋_GB2312" w:eastAsia="仿宋_GB2312" w:cs="仿宋_GB2312"/>
          <w:color w:val="000000"/>
          <w:kern w:val="2"/>
          <w:sz w:val="32"/>
          <w:szCs w:val="32"/>
          <w:shd w:val="clear" w:color="auto" w:fill="FFFFFF"/>
          <w:lang w:val="en-US" w:eastAsia="zh-CN" w:bidi="ar-SA"/>
        </w:rPr>
        <w:t>本级。</w:t>
      </w:r>
      <w:bookmarkEnd w:id="0"/>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lang w:val="en-US" w:eastAsia="zh-CN"/>
        </w:rPr>
        <w:t>三、</w:t>
      </w:r>
      <w:r>
        <w:rPr>
          <w:rFonts w:hint="eastAsia" w:ascii="Times New Roman" w:hAnsi="Times New Roman" w:eastAsia="黑体" w:cs="Times New Roman"/>
          <w:b/>
          <w:bCs/>
          <w:kern w:val="0"/>
          <w:sz w:val="32"/>
          <w:szCs w:val="32"/>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收入预算：</w:t>
      </w:r>
      <w:r>
        <w:rPr>
          <w:rFonts w:hint="eastAsia" w:ascii="仿宋_GB2312" w:hAnsi="仿宋_GB2312" w:eastAsia="仿宋_GB2312" w:cs="仿宋_GB2312"/>
          <w:color w:val="000000"/>
          <w:kern w:val="2"/>
          <w:sz w:val="32"/>
          <w:szCs w:val="32"/>
          <w:shd w:val="clear" w:color="auto" w:fill="FFFFFF"/>
          <w:lang w:val="en-US" w:eastAsia="zh-CN" w:bidi="ar-SA"/>
        </w:rPr>
        <w:t>包括一般公共预算、政府性基金、国有资本经营预算等财政拨款收入，以及经营收入、事业收入等单位资金。2024年本部门收入预算124.1万元，其中，一般公共预算拨款124.1万元，政府性基金预算资金0.00万元(所以公开的附件15-17表为空)，国有资本经营预算资金0.00万元(所以公开的附件18表为空)，财政专户管理资金0.00万元(所以公开的附件19表为空)，上级补助收入资金0.00万元，事业单位经营收入资金0.00万元，上年结转结余0.00万元。收入较上年增加17.89万元，上升16.84%。主要原因是2024年增加了一名工作人员，从而导致工资福利支出和商品服务支出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26000" cy="2743200"/>
            <wp:effectExtent l="4445" t="4445" r="8255" b="5270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124.1万元，其中：社会保障和就业支出10.81万元，卫生健康支出4.71万元，农林水支出100.66万元，住房保障支出7.92万元。支出较上年增加17.89万元，上升16.84%。主要原因是2024年增加了一名工作人员，从而导致工资福利支出和商品服务支出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96765" cy="3001010"/>
            <wp:effectExtent l="4445" t="4445" r="8890" b="23495"/>
            <wp:docPr id="3"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2024年本部门一般公共预算拨款支出124.1万元，其中：社会保障和就业支出10.81万元，占8.71%；卫生健康支出4.71万元，占3.8%；农林水支出100.66万元，占81.11%</w:t>
      </w:r>
      <w:r>
        <w:rPr>
          <w:rFonts w:hint="eastAsia" w:ascii="仿宋_GB2312" w:hAnsi="仿宋_GB2312" w:eastAsia="仿宋_GB2312" w:cs="仿宋_GB2312"/>
          <w:color w:val="000000"/>
          <w:kern w:val="2"/>
          <w:sz w:val="36"/>
          <w:szCs w:val="36"/>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住房保障支出7.92万元，占6.38%。具体安排情况如下：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2024年本部门基本支出预算数102.05万元，主要是为保障部门正常运转、完成日常工作任务而发生的各项支出，包括用于基本工资、津贴补贴等人员经费以及办公费、印刷费、水电费、办公设备购置等公用经费。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2024年本部门项目支出预算22.05万元，主要是本部门为完成特定工作任务或事业发展目标而发生的支出，包括业务工作经费等，其中：农林水支出22.05万元，主要用于完成本部门2024年度</w:t>
      </w:r>
      <w:r>
        <w:rPr>
          <w:rFonts w:hint="eastAsia" w:eastAsia="仿宋_GB2312"/>
          <w:sz w:val="32"/>
          <w:szCs w:val="32"/>
          <w:u w:val="none"/>
        </w:rPr>
        <w:t>开展移民年检年审</w:t>
      </w:r>
      <w:r>
        <w:rPr>
          <w:rFonts w:hint="eastAsia" w:eastAsia="仿宋_GB2312"/>
          <w:sz w:val="32"/>
          <w:szCs w:val="32"/>
          <w:u w:val="none"/>
          <w:lang w:val="en-US" w:eastAsia="zh-CN"/>
        </w:rPr>
        <w:t>等方面</w:t>
      </w:r>
      <w:r>
        <w:rPr>
          <w:rFonts w:hint="eastAsia" w:ascii="仿宋_GB2312" w:hAnsi="仿宋_GB2312" w:eastAsia="仿宋_GB2312" w:cs="仿宋_GB2312"/>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2024年岳阳市君山区库区移民服务中心部门机关运行经费12.59万元，比上年预算上升13.53%。主要原因是2024年增加了一名工作人员，导致机关运行经费增加。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0.5万元，其中，公务接待费0.5万元，公务用车购置及运行费0万元（其中，公务用车购置费0万元，公务用车运行费0万元），因公出国（境）费0万元。2024年“三公”经费预算较2023年减少1.5万元，主要原因是严格落实中央“八项规定”精神和“过紧日子”的要求，从严控制“三公”经费支出。</w:t>
      </w:r>
      <w:bookmarkStart w:id="1" w:name="END_IS_ZERO_06_1"/>
      <w:bookmarkEnd w:id="1"/>
      <w:bookmarkStart w:id="2" w:name="START_IS_ZERO_06_2"/>
      <w:bookmarkEnd w:id="2"/>
      <w:bookmarkStart w:id="3" w:name="END_IS_ZERO_06_2"/>
      <w:bookmarkEnd w:id="3"/>
      <w:bookmarkStart w:id="4" w:name="DIS_MARK_IS_ZERO_06_2"/>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2024年本部门会议费预算0万元，拟召开0次会议，人数0人；培训费预算0万元，拟开展0次培训，人数0人；2024年度本部门未计划举办节庆、晚会、论坛、赛事活动，经费预算0万元。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2024年本部门政府采购预算总额9.16</w:t>
      </w:r>
      <w:bookmarkStart w:id="5" w:name="_GoBack"/>
      <w:bookmarkEnd w:id="5"/>
      <w:r>
        <w:rPr>
          <w:rFonts w:hint="eastAsia" w:ascii="仿宋_GB2312" w:hAnsi="仿宋_GB2312" w:eastAsia="仿宋_GB2312" w:cs="仿宋_GB2312"/>
          <w:color w:val="000000"/>
          <w:kern w:val="2"/>
          <w:sz w:val="32"/>
          <w:szCs w:val="32"/>
          <w:shd w:val="clear" w:color="auto" w:fill="FFFFFF"/>
          <w:lang w:val="en-US" w:eastAsia="zh-CN" w:bidi="ar-SA"/>
        </w:rPr>
        <w:t>万元，其中，货物类采购预算4万元；工程类采购预算0万元；服务类采购预算5.16万元。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shd w:val="clear" w:color="auto" w:fill="FFFFFF"/>
          <w:lang w:val="en-US" w:eastAsia="zh-CN" w:bidi="ar-SA"/>
        </w:rPr>
        <w:t>本部门所有支出实行绩效目标管理。纳入2024年部门整体支出绩效目标的金额为124.1万元，其中，基本支出102.05万元，项目支出22.05万元，具体绩效目标详见文尾附表中部门预算公开表格的表21-22。</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附件：岳阳市君山区库区移民服务中心2024年部门预算公开表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OWIzYzk1MWM3N2I3MjEzZjQ5NzNmYzQ5ZWNlZGYifQ=="/>
  </w:docVars>
  <w:rsids>
    <w:rsidRoot w:val="637274E6"/>
    <w:rsid w:val="00464D0F"/>
    <w:rsid w:val="00857C69"/>
    <w:rsid w:val="02412BCB"/>
    <w:rsid w:val="02FA7BB8"/>
    <w:rsid w:val="03631DE8"/>
    <w:rsid w:val="05DE428D"/>
    <w:rsid w:val="05ED25F6"/>
    <w:rsid w:val="079242AE"/>
    <w:rsid w:val="085D0C84"/>
    <w:rsid w:val="0992531D"/>
    <w:rsid w:val="0A0D382D"/>
    <w:rsid w:val="0D2835D5"/>
    <w:rsid w:val="0ED939EE"/>
    <w:rsid w:val="127F62FD"/>
    <w:rsid w:val="12AF22AF"/>
    <w:rsid w:val="13385187"/>
    <w:rsid w:val="144178C3"/>
    <w:rsid w:val="167C1082"/>
    <w:rsid w:val="168E55F8"/>
    <w:rsid w:val="16B94831"/>
    <w:rsid w:val="18844C6D"/>
    <w:rsid w:val="1C744CBF"/>
    <w:rsid w:val="1CD25B13"/>
    <w:rsid w:val="1D6E31FC"/>
    <w:rsid w:val="1D85581C"/>
    <w:rsid w:val="1FD800E8"/>
    <w:rsid w:val="200307FA"/>
    <w:rsid w:val="20A420AE"/>
    <w:rsid w:val="22DF4F83"/>
    <w:rsid w:val="22E64156"/>
    <w:rsid w:val="230C7214"/>
    <w:rsid w:val="24302B07"/>
    <w:rsid w:val="243D1BD3"/>
    <w:rsid w:val="256B3D61"/>
    <w:rsid w:val="264178B0"/>
    <w:rsid w:val="26962633"/>
    <w:rsid w:val="26E130FE"/>
    <w:rsid w:val="29C372D4"/>
    <w:rsid w:val="29EC6874"/>
    <w:rsid w:val="2A351017"/>
    <w:rsid w:val="2D6329A9"/>
    <w:rsid w:val="2DA53533"/>
    <w:rsid w:val="305B1762"/>
    <w:rsid w:val="305C2E10"/>
    <w:rsid w:val="3085088F"/>
    <w:rsid w:val="31A800DF"/>
    <w:rsid w:val="324A2389"/>
    <w:rsid w:val="32865768"/>
    <w:rsid w:val="328F1D91"/>
    <w:rsid w:val="32C66482"/>
    <w:rsid w:val="34521626"/>
    <w:rsid w:val="35683252"/>
    <w:rsid w:val="36BE748E"/>
    <w:rsid w:val="36CB7059"/>
    <w:rsid w:val="38E3475C"/>
    <w:rsid w:val="3951638D"/>
    <w:rsid w:val="3A242018"/>
    <w:rsid w:val="3A540249"/>
    <w:rsid w:val="43554184"/>
    <w:rsid w:val="43666CD0"/>
    <w:rsid w:val="462A64C6"/>
    <w:rsid w:val="472973EE"/>
    <w:rsid w:val="477C3FDA"/>
    <w:rsid w:val="47E411CF"/>
    <w:rsid w:val="490966A2"/>
    <w:rsid w:val="496F41C2"/>
    <w:rsid w:val="4AD36F68"/>
    <w:rsid w:val="4B5D43D7"/>
    <w:rsid w:val="4BC03402"/>
    <w:rsid w:val="4DBF1A26"/>
    <w:rsid w:val="4EC2028E"/>
    <w:rsid w:val="4EE728E7"/>
    <w:rsid w:val="50447689"/>
    <w:rsid w:val="51B004D2"/>
    <w:rsid w:val="52A91D7A"/>
    <w:rsid w:val="52FD7514"/>
    <w:rsid w:val="54A70CC5"/>
    <w:rsid w:val="56301712"/>
    <w:rsid w:val="5681523A"/>
    <w:rsid w:val="576A0C54"/>
    <w:rsid w:val="58737DF1"/>
    <w:rsid w:val="59FD190B"/>
    <w:rsid w:val="5A1535D7"/>
    <w:rsid w:val="5A380B96"/>
    <w:rsid w:val="5D7F32CE"/>
    <w:rsid w:val="5F3F29C6"/>
    <w:rsid w:val="60884CBD"/>
    <w:rsid w:val="60B230E1"/>
    <w:rsid w:val="61BD4564"/>
    <w:rsid w:val="636D1293"/>
    <w:rsid w:val="637274E6"/>
    <w:rsid w:val="63894210"/>
    <w:rsid w:val="65C33F40"/>
    <w:rsid w:val="662F72F1"/>
    <w:rsid w:val="66B263EF"/>
    <w:rsid w:val="683C7AA3"/>
    <w:rsid w:val="69175946"/>
    <w:rsid w:val="6B49147A"/>
    <w:rsid w:val="6C0749A4"/>
    <w:rsid w:val="6C1B6290"/>
    <w:rsid w:val="6C5E2742"/>
    <w:rsid w:val="6CB542C8"/>
    <w:rsid w:val="6CC62031"/>
    <w:rsid w:val="6F732045"/>
    <w:rsid w:val="7076663E"/>
    <w:rsid w:val="70AE175A"/>
    <w:rsid w:val="70F92319"/>
    <w:rsid w:val="728C4B01"/>
    <w:rsid w:val="729A1F96"/>
    <w:rsid w:val="739C7F8F"/>
    <w:rsid w:val="73BE1EBD"/>
    <w:rsid w:val="74232EF6"/>
    <w:rsid w:val="748B04A5"/>
    <w:rsid w:val="74D47E83"/>
    <w:rsid w:val="753F0C2D"/>
    <w:rsid w:val="77DE623F"/>
    <w:rsid w:val="78CC0C1A"/>
    <w:rsid w:val="791A5BDE"/>
    <w:rsid w:val="7B3D5BB4"/>
    <w:rsid w:val="7BA5080C"/>
    <w:rsid w:val="7C9338B5"/>
    <w:rsid w:val="7D174260"/>
    <w:rsid w:val="7E8121B2"/>
    <w:rsid w:val="7EBE525E"/>
    <w:rsid w:val="7F6D60FB"/>
    <w:rsid w:val="7F78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Documents\WeChat%20Files\wxid_8uktj8qci1hc22\FileStorage\File\2024-05\&#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ocuments\WeChat%20Files\wxid_8uktj8qci1hc22\FileStorage\File\2024-05\&#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[收入预算图.xlsx]Sheet1!$B$31:$B$32</c15:sqref>
                  </c15:fullRef>
                </c:ext>
              </c:extLst>
              <c:f>[收入预算图.xlsx]Sheet1!$B$31</c:f>
              <c:strCache>
                <c:ptCount val="1"/>
                <c:pt idx="0">
                  <c:v>一般公共预算拨款收入</c:v>
                </c:pt>
              </c:strCache>
            </c:strRef>
          </c:cat>
          <c:val>
            <c:numRef>
              <c:extLst>
                <c:ext xmlns:c15="http://schemas.microsoft.com/office/drawing/2012/chart" uri="{02D57815-91ED-43cb-92C2-25804820EDAC}">
                  <c15:fullRef>
                    <c15:sqref>Sheet1!$C$31:$C$32</c15:sqref>
                  </c15:fullRef>
                </c:ext>
              </c:extLst>
              <c:f>[收入预算图.xlsx]Sheet1!$C$31</c:f>
              <c:numCache>
                <c:formatCode>0%</c:formatCode>
                <c:ptCount val="1"/>
                <c:pt idx="0">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888161348252521"/>
          <c:y val="0.369437156157427"/>
          <c:w val="0.826511949164249"/>
          <c:h val="0.561591197630131"/>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Pt>
            <c:idx val="4"/>
            <c:bubble3D val="0"/>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a:scene3d>
                <a:camera prst="orthographicFront"/>
                <a:lightRig rig="threePt" dir="t"/>
              </a:scene3d>
              <a:sp3d contourW="9525"/>
            </c:spPr>
          </c:dPt>
          <c:dLbls>
            <c:dLbl>
              <c:idx val="0"/>
              <c:layout>
                <c:manualLayout>
                  <c:x val="-0.0735586862107707"/>
                  <c:y val="-0.102258730100319"/>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140864299411787"/>
                  <c:y val="-0.16753074522479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9037159828706"/>
                      <c:h val="0.120186203977994"/>
                    </c:manualLayout>
                  </c15:layout>
                </c:ext>
              </c:extLst>
            </c:dLbl>
            <c:dLbl>
              <c:idx val="2"/>
              <c:layout>
                <c:manualLayout>
                  <c:x val="0.134632194591435"/>
                  <c:y val="-0.104206724134759"/>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03900897931686"/>
                  <c:y val="-0.078031141184217"/>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5590551181102"/>
                  <c:y val="0.063478628861616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[收入预算图.xlsx]Sheet1!$B$2:$B$6</c:f>
              <c:strCache>
                <c:ptCount val="5"/>
                <c:pt idx="0">
                  <c:v>社会保障和就业支出</c:v>
                </c:pt>
                <c:pt idx="1">
                  <c:v>卫生健康支出</c:v>
                </c:pt>
                <c:pt idx="2">
                  <c:v>农林水支出</c:v>
                </c:pt>
                <c:pt idx="3">
                  <c:v>住房保障支出</c:v>
                </c:pt>
              </c:strCache>
            </c:strRef>
          </c:cat>
          <c:val>
            <c:numRef>
              <c:f>[收入预算图.xlsx]Sheet1!$C$2:$C$6</c:f>
              <c:numCache>
                <c:formatCode>0.00%</c:formatCode>
                <c:ptCount val="5"/>
                <c:pt idx="0">
                  <c:v>0.0870999999999999</c:v>
                </c:pt>
                <c:pt idx="1">
                  <c:v>0.038</c:v>
                </c:pt>
                <c:pt idx="2">
                  <c:v>0.8111</c:v>
                </c:pt>
                <c:pt idx="3">
                  <c:v>0.0638</c:v>
                </c:pt>
              </c:numCache>
            </c:numRef>
          </c:val>
        </c:ser>
        <c:dLbls>
          <c:showLegendKey val="0"/>
          <c:showVal val="0"/>
          <c:showCatName val="1"/>
          <c:showSerName val="0"/>
          <c:showPercent val="1"/>
          <c:showBubbleSize val="0"/>
        </c:dLbls>
      </c:pie3DChart>
      <c:spPr>
        <a:noFill/>
        <a:ln>
          <a:noFill/>
        </a:ln>
        <a:effectLst/>
      </c:spPr>
    </c:plotArea>
    <c:legend>
      <c:legendPos val="t"/>
      <c:layout>
        <c:manualLayout>
          <c:xMode val="edge"/>
          <c:yMode val="edge"/>
          <c:x val="0.1156927752452"/>
          <c:y val="0.098815065594583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12</Pages>
  <Words>3809</Words>
  <Characters>4091</Characters>
  <Lines>0</Lines>
  <Paragraphs>0</Paragraphs>
  <TotalTime>15</TotalTime>
  <ScaleCrop>false</ScaleCrop>
  <LinksUpToDate>false</LinksUpToDate>
  <CharactersWithSpaces>4097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Mr.1.689小姐</cp:lastModifiedBy>
  <dcterms:modified xsi:type="dcterms:W3CDTF">2024-06-13T08:44:29Z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D6D23289BD2C48EE9C7A6C01F99DFB74_13</vt:lpwstr>
  </property>
</Properties>
</file>