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岳阳</w:t>
      </w:r>
      <w:r>
        <w:rPr>
          <w:rFonts w:hint="eastAsia" w:ascii="方正小标宋简体" w:hAnsi="方正小标宋简体" w:eastAsia="方正小标宋简体" w:cs="方正小标宋简体"/>
          <w:b/>
          <w:bCs/>
          <w:sz w:val="44"/>
          <w:szCs w:val="44"/>
        </w:rPr>
        <w:t>市</w:t>
      </w:r>
      <w:r>
        <w:rPr>
          <w:rFonts w:hint="eastAsia" w:ascii="方正小标宋简体" w:hAnsi="方正小标宋简体" w:eastAsia="方正小标宋简体" w:cs="方正小标宋简体"/>
          <w:b/>
          <w:bCs/>
          <w:sz w:val="44"/>
          <w:szCs w:val="44"/>
          <w:lang w:val="en-US" w:eastAsia="zh-CN"/>
        </w:rPr>
        <w:t>君山区总工会</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根据党的基本理论、基本路线、基本纲领和工运方针，围绕党和国家工作大局，贯彻执行区委、市总工会的工作部署，指导全区工会工作。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依照法律和《中国工会章程》，组织和指导各级工会坚定不移地贯彻落实党的全心全意依靠工人阶级的根本指导方针，认真履行引导职工听党话、跟党走的政治责任，切实承担维护职工合法权益的基本职责，组织开展工会各项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对有关职工合法权益的重大问题进行调查研究，向区委、区政府以及市总工会反映职工的思想、愿望和要求，提出意见和建议；参与涉及职工切身利益的政策、措施、制度和有关法规规章草案的的拟订；参与职工重大伤亡事故和严重职业危害的调查处理；维护女职工的特殊权益。</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协助区政府有关部门监督检查企事业单位的安全生产以及指导职工生活、社会保障等方面的工作；组织和指导职工开展劳动和技能竞赛以及合理化建议、技术创新、技术协作活动。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会同区有关部门共同做好全国、省、市劳动模范和区先进生产（工作）者的推荐、评选工作；负责全国、省、市、区五一劳动奖、工人先锋号获得者的推荐、评选、表彰和管理工作。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负责全区工会经费和工会资产的管理、审查、审计工作；研究制定工会组织兴办的职工劳动福利事业的有关制度和规定，并进行指导、协调。</w:t>
      </w:r>
    </w:p>
    <w:p>
      <w:pPr>
        <w:spacing w:line="570" w:lineRule="atLeast"/>
        <w:ind w:firstLine="640" w:firstLineChars="200"/>
        <w:rPr>
          <w:rFonts w:ascii="宋体" w:hAnsi="宋体"/>
          <w:spacing w:val="10"/>
          <w:sz w:val="32"/>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承担区委、区政府及市总工会交办的其他事项。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zh-CN" w:eastAsia="zh-CN"/>
        </w:rPr>
      </w:pPr>
      <w:r>
        <w:rPr>
          <w:rFonts w:hint="eastAsia" w:eastAsia="楷体_GB2312"/>
          <w:b/>
          <w:sz w:val="32"/>
          <w:szCs w:val="32"/>
        </w:rPr>
        <w:t xml:space="preserve"> </w:t>
      </w:r>
      <w:r>
        <w:rPr>
          <w:rFonts w:hint="eastAsia" w:ascii="仿宋_GB2312" w:hAnsi="仿宋_GB2312" w:eastAsia="仿宋_GB2312" w:cs="仿宋_GB2312"/>
          <w:color w:val="000000"/>
          <w:sz w:val="32"/>
          <w:szCs w:val="32"/>
          <w:shd w:val="clear" w:color="auto" w:fill="FFFFFF"/>
          <w:lang w:val="zh-CN" w:eastAsia="zh-CN"/>
        </w:rPr>
        <w:t>岳阳市君山区总工会内设机构</w:t>
      </w:r>
      <w:r>
        <w:rPr>
          <w:rFonts w:hint="eastAsia" w:ascii="仿宋_GB2312" w:hAnsi="仿宋_GB2312" w:eastAsia="仿宋_GB2312" w:cs="仿宋_GB2312"/>
          <w:color w:val="000000"/>
          <w:sz w:val="32"/>
          <w:szCs w:val="32"/>
          <w:shd w:val="clear" w:color="auto" w:fill="FFFFFF"/>
          <w:lang w:val="en-US" w:eastAsia="zh-CN"/>
        </w:rPr>
        <w:t>3个，分别为办公室、法律保障部（加挂君山区困难职工帮扶中心）</w:t>
      </w:r>
      <w:r>
        <w:rPr>
          <w:rFonts w:hint="eastAsia" w:ascii="仿宋_GB2312" w:hAnsi="仿宋_GB2312" w:eastAsia="仿宋_GB2312" w:cs="仿宋_GB2312"/>
          <w:color w:val="000000"/>
          <w:sz w:val="32"/>
          <w:szCs w:val="32"/>
          <w:shd w:val="clear" w:color="auto" w:fill="FFFFFF"/>
          <w:lang w:val="en-US" w:eastAsia="zh-CN"/>
        </w:rPr>
        <w:t>和女工部。</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现有在编在岗人员</w:t>
      </w:r>
      <w:r>
        <w:rPr>
          <w:rFonts w:hint="eastAsia" w:ascii="仿宋_GB2312" w:hAnsi="仿宋_GB2312" w:eastAsia="仿宋_GB2312" w:cs="仿宋_GB2312"/>
          <w:color w:val="000000"/>
          <w:sz w:val="32"/>
          <w:szCs w:val="32"/>
          <w:shd w:val="clear" w:color="auto" w:fill="FFFFFF"/>
          <w:lang w:val="en-US" w:eastAsia="zh-CN"/>
        </w:rPr>
        <w:t>9人，其中：行政编制</w:t>
      </w:r>
      <w:r>
        <w:rPr>
          <w:rFonts w:hint="eastAsia" w:ascii="仿宋_GB2312" w:hAnsi="仿宋_GB2312" w:eastAsia="仿宋_GB2312" w:cs="仿宋_GB2312"/>
          <w:color w:val="000000"/>
          <w:sz w:val="32"/>
          <w:szCs w:val="32"/>
          <w:shd w:val="clear" w:color="auto" w:fill="FFFFFF"/>
          <w:lang w:val="en-US" w:eastAsia="zh-CN"/>
        </w:rPr>
        <w:t>7人，事业编制</w:t>
      </w:r>
      <w:r>
        <w:rPr>
          <w:rFonts w:hint="eastAsia" w:ascii="仿宋_GB2312" w:hAnsi="仿宋_GB2312" w:eastAsia="仿宋_GB2312" w:cs="仿宋_GB2312"/>
          <w:color w:val="000000"/>
          <w:sz w:val="32"/>
          <w:szCs w:val="32"/>
          <w:shd w:val="clear" w:color="auto" w:fill="FFFFFF"/>
          <w:lang w:val="en-US" w:eastAsia="zh-CN"/>
        </w:rPr>
        <w:t>2人；退休</w:t>
      </w:r>
      <w:r>
        <w:rPr>
          <w:rFonts w:hint="eastAsia" w:ascii="仿宋_GB2312" w:hAnsi="仿宋_GB2312" w:eastAsia="仿宋_GB2312" w:cs="仿宋_GB2312"/>
          <w:color w:val="000000"/>
          <w:sz w:val="32"/>
          <w:szCs w:val="32"/>
          <w:shd w:val="clear" w:color="auto" w:fill="FFFFFF"/>
          <w:lang w:val="en-US" w:eastAsia="zh-CN"/>
        </w:rPr>
        <w:t>7人。</w:t>
      </w: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0" w:name="DEPT_COMPOSE"/>
      <w:r>
        <w:rPr>
          <w:rFonts w:hint="eastAsia" w:ascii="仿宋_GB2312" w:hAnsi="仿宋_GB2312" w:eastAsia="仿宋_GB2312" w:cs="仿宋_GB2312"/>
          <w:color w:val="000000"/>
          <w:sz w:val="32"/>
          <w:szCs w:val="32"/>
          <w:shd w:val="clear" w:color="auto" w:fill="FFFFFF"/>
          <w:lang w:val="en-US" w:eastAsia="zh-CN"/>
        </w:rPr>
        <w:t>岳阳市君山区总工会部门只有本级，没有其他二级预算单位，因此，纳入2024年部门预算编制范围的只有岳阳市君山区总工会本级。</w:t>
      </w:r>
      <w:bookmarkEnd w:id="0"/>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收入预算：</w:t>
      </w:r>
      <w:r>
        <w:rPr>
          <w:rFonts w:hint="eastAsia" w:ascii="仿宋_GB2312" w:hAnsi="仿宋_GB2312" w:eastAsia="仿宋_GB2312" w:cs="仿宋_GB2312"/>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包括一般公共预算、政府性基金、国有资本经营预算等财政拨款收入，以及经营收入、事业收入等单位资金。2024年本部门收入预算189.67万元，其中，一般公共预算拨款189.67万元，政府性基金预算资金0.00万元(所以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15-17表为空)，国有资本经营预算资金0.00万元(所以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18表为空)，财政专户管理资金0.00万元(所以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19表为空</w:t>
      </w:r>
      <w:r>
        <w:rPr>
          <w:rFonts w:hint="eastAsia" w:ascii="仿宋_GB2312" w:hAnsi="仿宋_GB2312" w:eastAsia="仿宋_GB2312" w:cs="仿宋_GB2312"/>
          <w:color w:val="000000"/>
          <w:kern w:val="2"/>
          <w:sz w:val="32"/>
          <w:szCs w:val="32"/>
          <w:shd w:val="clear" w:color="auto" w:fill="FFFFFF"/>
          <w:lang w:val="en-US" w:eastAsia="zh-CN" w:bidi="ar-SA"/>
        </w:rPr>
        <w:t>)，上级补助收入资金0.00万元，事业单位经营收入资金0.00万元，上年结转结余0.00万元。收入较上年减少25.99万元，下降12.05%。主要原因是厉行节约，压缩了业务工作经费和基本支出预算标准，从而导致基本支出和项目支出的减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leftChars="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189.67万元，其中：一般公共服务支出144.81万元，社会保障和就业支出26.64万元，卫生健康支出7.12万元，住房保障支出11.1万元。支出较上年减少25.99万元，下降12.05%。主要原因是厉行节约，压缩了业务工作经费和基本支出预算标准，从而导致基本支出和项目支出的减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72000" cy="300037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189.67万元，其中：一般公共服务支出144.81万元，占76.35%；社会保障和就业支出26.64万元，占14.05%，卫生健康支出7.12万元，占3.75%，住房保障支出11.1万元，占5.85%。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2024年本部门基本支出预算数154.47万元，主要是为保障部门正常运转、完成日常工作任务而发生的各项支出，包括用于基本工资、津贴补贴等人员经费以及办公费、印刷费、水电费、办公设备购置等公用经费。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35.2万元，主要是本部门为完成特定工作任务或事业发展目标而发生的支出，包括有关事业发展专项、专项业务费等，其中：一般公共服务支出35.2万元，主要用于工会业务工作经费、总工会专项支出等。</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2024年岳阳市君山区总工会部门机关运行经费17.08万元，较上年减少3.6万元，下降17.41%，主要原因为厉行节约，压缩了公用经费支出预算。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1.2万元，其中，公务接待费1.2万元，公务用车购置及运行费0万元（其中，公务用车购置费0万元，公务用车运行费0万元），因公出国（境）费0万元。2024年“三公”经费预算较2023年减少0.5万元，主要原因是严格落实中央“八项规定”精神和“过紧日子”的要求，从严控制“三公”经费支出。</w:t>
      </w:r>
      <w:bookmarkStart w:id="1" w:name="END_IS_ZERO_06_2"/>
      <w:bookmarkEnd w:id="1"/>
      <w:bookmarkStart w:id="2" w:name="DIS_MARK_IS_ZERO_06_2"/>
      <w:bookmarkEnd w:id="2"/>
      <w:bookmarkStart w:id="3" w:name="END_IS_ZERO_06_1"/>
      <w:bookmarkEnd w:id="3"/>
      <w:bookmarkStart w:id="4" w:name="START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2024年本部门会议费预算2万元，拟召开劳模表彰大会等6</w:t>
      </w:r>
      <w:r>
        <w:rPr>
          <w:rFonts w:hint="eastAsia" w:ascii="仿宋_GB2312" w:hAnsi="仿宋_GB2312" w:eastAsia="仿宋_GB2312" w:cs="仿宋_GB2312"/>
          <w:color w:val="000000"/>
          <w:sz w:val="32"/>
          <w:szCs w:val="32"/>
          <w:shd w:val="clear" w:color="auto" w:fill="FFFFFF"/>
          <w:lang w:val="en-US" w:eastAsia="zh-CN"/>
        </w:rPr>
        <w:t>次</w:t>
      </w:r>
      <w:r>
        <w:rPr>
          <w:rFonts w:hint="eastAsia" w:ascii="仿宋_GB2312" w:hAnsi="仿宋_GB2312" w:eastAsia="仿宋_GB2312" w:cs="仿宋_GB2312"/>
          <w:color w:val="000000"/>
          <w:kern w:val="2"/>
          <w:sz w:val="32"/>
          <w:szCs w:val="32"/>
          <w:shd w:val="clear" w:color="auto" w:fill="FFFFFF"/>
          <w:lang w:val="en-US" w:eastAsia="zh-CN" w:bidi="ar-SA"/>
        </w:rPr>
        <w:t>会议，人数400人，内容为会场租赁、会议资料和其他杂费等；培训费预算0万元，拟开展0</w:t>
      </w:r>
      <w:r>
        <w:rPr>
          <w:rFonts w:hint="eastAsia" w:ascii="仿宋_GB2312" w:hAnsi="仿宋_GB2312" w:eastAsia="仿宋_GB2312" w:cs="仿宋_GB2312"/>
          <w:color w:val="000000"/>
          <w:sz w:val="32"/>
          <w:szCs w:val="32"/>
          <w:shd w:val="clear" w:color="auto" w:fill="FFFFFF"/>
          <w:lang w:val="en-US" w:eastAsia="zh-CN"/>
        </w:rPr>
        <w:t>次</w:t>
      </w:r>
      <w:r>
        <w:rPr>
          <w:rFonts w:hint="eastAsia" w:ascii="仿宋_GB2312" w:hAnsi="仿宋_GB2312" w:eastAsia="仿宋_GB2312" w:cs="仿宋_GB2312"/>
          <w:color w:val="000000"/>
          <w:kern w:val="2"/>
          <w:sz w:val="32"/>
          <w:szCs w:val="32"/>
          <w:shd w:val="clear" w:color="auto" w:fill="FFFFFF"/>
          <w:lang w:val="en-US" w:eastAsia="zh-CN" w:bidi="ar-SA"/>
        </w:rPr>
        <w:t>培训，人数0人；2024年度本部门未计划举办节庆、晚会、论坛、赛事活动，经费预算0万元。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2024年本部门政府采购预算总额10.8万元，其中，货物类采购预算0万元；工程类采购预算0万元；服务类采购预算10.8万元。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w:t>
      </w:r>
      <w:r>
        <w:rPr>
          <w:rFonts w:hint="eastAsia" w:ascii="仿宋_GB2312" w:hAnsi="仿宋_GB2312" w:eastAsia="仿宋_GB2312" w:cs="仿宋_GB2312"/>
          <w:color w:val="000000"/>
          <w:kern w:val="2"/>
          <w:sz w:val="32"/>
          <w:szCs w:val="32"/>
          <w:highlight w:val="none"/>
          <w:shd w:val="clear" w:color="auto" w:fill="FFFFFF"/>
          <w:lang w:val="en-US" w:eastAsia="zh-CN" w:bidi="ar-SA"/>
        </w:rPr>
        <w:t>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highlight w:val="none"/>
          <w:shd w:val="clear" w:color="auto" w:fill="FFFFFF"/>
          <w:lang w:val="en-US" w:eastAsia="zh-CN" w:bidi="ar-SA"/>
        </w:rPr>
        <w:t>本部门所有支出实行绩效目标管理。纳入2024年部门整体支出绩效目标的金额为189.67万元，其中，基本支出154.47万元，项目支出35.2万元，具体绩效目标详见文尾附表中部门预算公开表21-22表</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附件：岳阳市君山区总工会2024年部门预算公开表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637274E6"/>
    <w:rsid w:val="02306473"/>
    <w:rsid w:val="02624152"/>
    <w:rsid w:val="03D92B3C"/>
    <w:rsid w:val="07DE427B"/>
    <w:rsid w:val="0992531D"/>
    <w:rsid w:val="09C86F91"/>
    <w:rsid w:val="0A0D382D"/>
    <w:rsid w:val="0AB60AC2"/>
    <w:rsid w:val="0D8D68F1"/>
    <w:rsid w:val="0E4B58DB"/>
    <w:rsid w:val="0ED939EE"/>
    <w:rsid w:val="0F1663CA"/>
    <w:rsid w:val="12FA6367"/>
    <w:rsid w:val="13385187"/>
    <w:rsid w:val="1563379D"/>
    <w:rsid w:val="167C1082"/>
    <w:rsid w:val="16B94831"/>
    <w:rsid w:val="17A600E3"/>
    <w:rsid w:val="17A65EAE"/>
    <w:rsid w:val="17E70F2A"/>
    <w:rsid w:val="1B156429"/>
    <w:rsid w:val="1C6138A1"/>
    <w:rsid w:val="1C744CBF"/>
    <w:rsid w:val="1D7A639C"/>
    <w:rsid w:val="1E8214D9"/>
    <w:rsid w:val="200307FA"/>
    <w:rsid w:val="20A420AE"/>
    <w:rsid w:val="213E1D14"/>
    <w:rsid w:val="21727E3D"/>
    <w:rsid w:val="22CB72A5"/>
    <w:rsid w:val="230C7214"/>
    <w:rsid w:val="25382DC5"/>
    <w:rsid w:val="264178B0"/>
    <w:rsid w:val="27733977"/>
    <w:rsid w:val="28AF15F0"/>
    <w:rsid w:val="29EC6874"/>
    <w:rsid w:val="2BF01473"/>
    <w:rsid w:val="2D6329A9"/>
    <w:rsid w:val="2E41718E"/>
    <w:rsid w:val="2EF502C5"/>
    <w:rsid w:val="305B1762"/>
    <w:rsid w:val="305B3D34"/>
    <w:rsid w:val="305C2E10"/>
    <w:rsid w:val="324A2389"/>
    <w:rsid w:val="328F1D91"/>
    <w:rsid w:val="32982A78"/>
    <w:rsid w:val="32C66482"/>
    <w:rsid w:val="35683252"/>
    <w:rsid w:val="35D63F1B"/>
    <w:rsid w:val="361C522A"/>
    <w:rsid w:val="36BE748E"/>
    <w:rsid w:val="36C3270A"/>
    <w:rsid w:val="36C46BAE"/>
    <w:rsid w:val="372419C7"/>
    <w:rsid w:val="38C2711D"/>
    <w:rsid w:val="3951638D"/>
    <w:rsid w:val="3A242018"/>
    <w:rsid w:val="3BDE696C"/>
    <w:rsid w:val="3F116709"/>
    <w:rsid w:val="3F150D8C"/>
    <w:rsid w:val="403F2E01"/>
    <w:rsid w:val="40ED0AAF"/>
    <w:rsid w:val="44550E45"/>
    <w:rsid w:val="44C24001"/>
    <w:rsid w:val="4555609A"/>
    <w:rsid w:val="47E411CF"/>
    <w:rsid w:val="490966A2"/>
    <w:rsid w:val="49B605D8"/>
    <w:rsid w:val="4AD36F68"/>
    <w:rsid w:val="4ADD73C0"/>
    <w:rsid w:val="4B906C07"/>
    <w:rsid w:val="4BC03402"/>
    <w:rsid w:val="4DBF1A26"/>
    <w:rsid w:val="4EE728E7"/>
    <w:rsid w:val="50E62AFE"/>
    <w:rsid w:val="51066F16"/>
    <w:rsid w:val="51B004D2"/>
    <w:rsid w:val="52241F08"/>
    <w:rsid w:val="54244912"/>
    <w:rsid w:val="56301712"/>
    <w:rsid w:val="574216FD"/>
    <w:rsid w:val="576A0C54"/>
    <w:rsid w:val="58A12453"/>
    <w:rsid w:val="5A3572F7"/>
    <w:rsid w:val="5A380B96"/>
    <w:rsid w:val="5A65650F"/>
    <w:rsid w:val="5D647EF4"/>
    <w:rsid w:val="5DE306BB"/>
    <w:rsid w:val="5F3F29C6"/>
    <w:rsid w:val="637274E6"/>
    <w:rsid w:val="63894210"/>
    <w:rsid w:val="64C7681D"/>
    <w:rsid w:val="662F72F1"/>
    <w:rsid w:val="66B263EF"/>
    <w:rsid w:val="6B49147A"/>
    <w:rsid w:val="6BB42046"/>
    <w:rsid w:val="6C0749A4"/>
    <w:rsid w:val="6C5E2742"/>
    <w:rsid w:val="6CB542C8"/>
    <w:rsid w:val="6CC62031"/>
    <w:rsid w:val="6FE23626"/>
    <w:rsid w:val="70AE175A"/>
    <w:rsid w:val="721F6E5B"/>
    <w:rsid w:val="72860C2E"/>
    <w:rsid w:val="728C4B01"/>
    <w:rsid w:val="729A1F96"/>
    <w:rsid w:val="72E52A6B"/>
    <w:rsid w:val="739C7F8F"/>
    <w:rsid w:val="73BE1EBD"/>
    <w:rsid w:val="767C1EA4"/>
    <w:rsid w:val="78CC0C1A"/>
    <w:rsid w:val="791A5BDE"/>
    <w:rsid w:val="7AFB04E9"/>
    <w:rsid w:val="7C9338B5"/>
    <w:rsid w:val="7EBE525E"/>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autoRedefine/>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Desktop\2024&#24180;&#37096;&#38376;&#39044;&#31639;&#20844;&#24320;&#65288;&#28504;&#29141;&#6528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支出预算图</a:t>
            </a:r>
          </a:p>
        </c:rich>
      </c:tx>
      <c:layout/>
      <c:overlay val="0"/>
      <c:spPr>
        <a:noFill/>
        <a:ln>
          <a:noFill/>
        </a:ln>
        <a:effectLst/>
      </c:spPr>
    </c:title>
    <c:autoTitleDeleted val="0"/>
    <c:plotArea>
      <c:layout>
        <c:manualLayout>
          <c:layoutTarget val="inner"/>
          <c:xMode val="edge"/>
          <c:yMode val="edge"/>
          <c:x val="0.323816666666667"/>
          <c:y val="0.212958333333333"/>
          <c:w val="0.352366666666667"/>
          <c:h val="0.587277777777778"/>
        </c:manualLayout>
      </c:layout>
      <c:pieChart>
        <c:varyColors val="1"/>
        <c:ser>
          <c:idx val="1"/>
          <c:order val="0"/>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[图表.xlsx]Sheet2!$A$3:$D$3</c:f>
              <c:strCache>
                <c:ptCount val="4"/>
                <c:pt idx="0">
                  <c:v>一般公共服务支出</c:v>
                </c:pt>
                <c:pt idx="1">
                  <c:v>社会保障和就业支出</c:v>
                </c:pt>
                <c:pt idx="2">
                  <c:v>卫生健康支出</c:v>
                </c:pt>
                <c:pt idx="3">
                  <c:v>住房保障支出</c:v>
                </c:pt>
              </c:strCache>
            </c:strRef>
          </c:cat>
          <c:val>
            <c:numRef>
              <c:f>[图表.xlsx]Sheet2!$A$4:$D$4</c:f>
              <c:numCache>
                <c:formatCode>0.00%</c:formatCode>
                <c:ptCount val="4"/>
                <c:pt idx="0">
                  <c:v>0.763483945800601</c:v>
                </c:pt>
                <c:pt idx="1">
                  <c:v>0.14045447355934</c:v>
                </c:pt>
                <c:pt idx="2">
                  <c:v>0.0375388833236674</c:v>
                </c:pt>
                <c:pt idx="3">
                  <c:v>0.0585226973163916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3312</Words>
  <Characters>3712</Characters>
  <Lines>0</Lines>
  <Paragraphs>0</Paragraphs>
  <TotalTime>10</TotalTime>
  <ScaleCrop>false</ScaleCrop>
  <LinksUpToDate>false</LinksUpToDate>
  <CharactersWithSpaces>3722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Mr.1.689小姐</cp:lastModifiedBy>
  <dcterms:modified xsi:type="dcterms:W3CDTF">2024-06-11T07:38:59Z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162E544386AE4D92BF8D6E0D87531EEF_13</vt:lpwstr>
  </property>
</Properties>
</file>