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岳阳市君山区教育局</w:t>
      </w:r>
    </w:p>
    <w:p>
      <w:pPr>
        <w:spacing w:line="570" w:lineRule="atLeast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/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1、研究拟订地方性的教育政策并监督执行；研究拟订全区教育事业发展规划和年度计划，拟订教育发展的重点、规模、速度和步骤，指导和协调教育规划、计划的实施。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负责全区各级各类教育的统筹规划和协调管理，组织指导教育理论、教学方法和现代化教学手段的研究，负责教育基本信息的统计、分析和发布，指导全区教育系统精神文明建设工作。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负责全区基础教育宏观指导与协调，指导基础教育课程改革、教学改革和教学管理。推进义务教育均衡发展，促进教育公平，保障素质教育的全面实施和教育质量提高，指导基础教育年度招生工作，制定学校招生考试政策；坚持以就业为导向，推进全区职业教育发展，制定职业教育管理的措施方法，推进职业教育体制创新，更好的满足经济社会发展对技术技能人才的需要，服务产业发展史 指导和管理全区中小学学籍；负责高等学历教育招生考试和高、初中学业水平考试及教育所承担的其它社会考试工作。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负责教育系统意识形态工作，落实立德树人的根本任务。指导全区各学校的思想政治、德育、体育、卫生、艺术教育及国防教育工作；指导本系统党建、宣传、统战和群团工作；会同有关部门指导全区家庭教育和社区教育工作；组织、指导、协调全区教育系统综合治理的安全稳定工作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统筹管理本部门教育经费；参与拟订全区教育经费筹措、教育拨款、教育基建投资的政策；负责统计和监测全区教育经费的投入和使用情况；按有关规定管理区外对我区的教育援助和教育贷款；指导、管理全区资助经济困难学生工作及行业扶贫工作；监管教育系统国有资产；组织、指导全区教育系统的经济责任审计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、主管全区教师工作。协助有关部门制定全区教育系统有关劳动工资、人事管理方面的规定制度并组织实施；协助编制部门管理中小学编制；负责全区教师资格认定、招聘录用、人员调配等工作；负责全区教师系列初级专业技术职务的评聘；规划并指导全区教师和教育行政干部队伍的建设工作；负责定向委培师范生的选拔工作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、统筹管理全区学前教育和民办教育，负责学前教育和民办教育的审批、注册工作；加强对民办教育的统筹规划、综合协调和宏观管理，规范办学秩序，促进民办教育事业健康发展；负责制定学前教育发展规划、扶持政策，指导全区实施普及学前三年教育；规划、指导全区公办幼儿园建设和普惠性民办幼儿园建设；规范民办幼儿园行为，指导学前教育机构进行教育教学改革开放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8、组织、指导全区教育督导工作。负责对本级人民政府有关部门和镇（街道）政府的教育工作以及各级各类教育机构的教育教学工作进行监督、检查、评估、指导。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9、统筹管理全区各学校的教育管理干部和教师的继续教育工作；统筹管理全区语言文字工作，制定全区语言文字规划并组织实施，指导推广普通话和规范汉字工作。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10、负责全区各学校的勤工俭学、电教仪器装备、教育信息技术和信息化建设、管理工作。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11、负责本单位、本系统的信访维稳和安全生产工作。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12、完成区委、区政府交办的其他任务。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楷体_GB2312"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13、区校车安全管理工作领导小组办公室设区教育局，其日常工作由体卫安全股承担。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区编办核定，教育局内设股室8个，所属公益类事业单位4个，核定行政编制10人，事业编制36人。目前，局本级在职行政人员13人，事业编制人员31人，在职人员共44人，退休人员60人；下辖二级机构预算编制事业单位共13个，</w:t>
      </w:r>
      <w:r>
        <w:rPr>
          <w:rFonts w:hint="eastAsia" w:ascii="仿宋" w:hAnsi="仿宋" w:eastAsia="仿宋"/>
          <w:sz w:val="32"/>
          <w:szCs w:val="32"/>
        </w:rPr>
        <w:t>核定编制1182人，实有在职人数1233人，退休人员1152人。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全部纳入2024年部门预算编制范围。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局机关内设职能股室：办公室（加挂中共岳阳市君山区委教育工作领导小组秘书组办公室）、基础教育股、教师工作与政工股、计划财务股（君山区学生资助管理中心）、体卫安全股（信访维稳应急办、校车安全管理办）、审计法规股（联系派驻纪检组）、民办教育股、党建办；局属公益类事业单位：君山区教育科学研究所、君山区青少年校外活动中心、君山区勤管仪电站，君山区招生与考试中心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二级机构事业单位：</w:t>
      </w:r>
      <w:r>
        <w:rPr>
          <w:rFonts w:hint="eastAsia" w:ascii="仿宋" w:hAnsi="仿宋" w:eastAsia="仿宋"/>
          <w:sz w:val="32"/>
          <w:szCs w:val="32"/>
        </w:rPr>
        <w:t>岳阳市君山区岳西中学、岳阳市君山区君山小学、岳阳市君山区西城街道办事处中心小学、岳阳市君山区柳林洲镇中心学校、岳阳市君山区广兴洲中学、岳阳市君山区许市镇中学、岳阳市君山区钱粮湖镇中学、岳阳市君山区良心堡镇中学、岳阳市君山区采桑湖镇中学、岳阳市君山区钱粮湖实验小学、岳阳市君山区职业技术学校、岳阳市第十六中学、岳阳市君山区许市镇中心小学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本部门预算为汇总预算，纳入2024年部门预算编制范围的预算单位包括：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.教育局</w:t>
      </w:r>
      <w:r>
        <w:rPr>
          <w:rFonts w:ascii="仿宋" w:hAnsi="仿宋" w:eastAsia="仿宋"/>
          <w:sz w:val="32"/>
          <w:szCs w:val="32"/>
        </w:rPr>
        <w:t>本级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.岳阳市君山区岳西中学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3.岳阳市君山区君山小学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4.岳阳市君山区西城街道办事处中心小学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5.岳阳市君山区柳林洲镇中心学校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6.岳阳市君山区广兴洲中学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7.岳阳市君山区许市镇中学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8.岳阳市君山区钱粮湖镇中学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9.岳阳市君山区良心堡镇中学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10.岳阳市君山区采桑湖镇中学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11.岳阳市君山区钱粮湖实验小学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12.岳阳市君山区职业技术学校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13.岳阳市第十六中学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14.岳阳市君山区许市镇中心小学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三、部门收支总体情况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2024年没有政府性基金预算拨款、国有资本经营预算收入和纳入专户管理的非税收入拨款收入，也没有使用政府性基金预算拨款、国有资本经营预算收入拨款安排的支出，所以部门预算公开表15、16、17、18表均为空。</w:t>
      </w:r>
    </w:p>
    <w:p>
      <w:pPr>
        <w:adjustRightInd w:val="0"/>
        <w:snapToGrid w:val="0"/>
        <w:spacing w:line="360" w:lineRule="auto"/>
        <w:ind w:firstLine="630" w:firstLineChars="196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包括一般公共预算、政府性基金、国有资本经营预算等财政拨款收入，以及经营收入、事业收入等单位资金。2024年本部门收入预算25747.63万元，其中，一般公共预算拨款25338.63万元，政府性基金预算资金0.00万元(所以部门预算公开表15-17表为空)，国有资本经营预算资金0.00万元(所以部门预算公开表18表为空)，财政专户管理资金409.00万元，上级补助收入资金0.00万元，事业单位经营收入资金0.00万元，上年结转结余0.00万元。收入较去年增加264.37万元，上升1.04%。主要原因是</w:t>
      </w:r>
      <w:r>
        <w:rPr>
          <w:rFonts w:hint="eastAsia" w:ascii="仿宋" w:hAnsi="仿宋" w:eastAsia="仿宋"/>
          <w:bCs/>
          <w:sz w:val="32"/>
          <w:szCs w:val="32"/>
        </w:rPr>
        <w:t>根据中央、省、市关于教育经费“两个只增不减”文件精神，结合教育部门人员增加及项目预算实际，导致教育经费年度预算收入增加</w:t>
      </w:r>
      <w:r>
        <w:rPr>
          <w:rFonts w:ascii="仿宋" w:hAnsi="仿宋" w:eastAsia="仿宋"/>
          <w:bCs/>
          <w:sz w:val="32"/>
          <w:szCs w:val="32"/>
        </w:rPr>
        <w:t>。</w:t>
      </w:r>
      <w:r>
        <w:drawing>
          <wp:inline distT="0" distB="0" distL="114300" distR="114300">
            <wp:extent cx="5455285" cy="2994025"/>
            <wp:effectExtent l="4445" t="4445" r="7620" b="11430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numPr>
          <w:numId w:val="0"/>
        </w:numPr>
        <w:adjustRightInd w:val="0"/>
        <w:snapToGrid w:val="0"/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2024年本部门支出预算25747.63万元，其中：教育支出19357.85万元，社会保障和就业支出4088.15万元，卫生健康支出861.50万元，住房保障支出1440.13万元。支出较上年增加264.37万元，上升1.04%。主要原因是</w:t>
      </w:r>
      <w:r>
        <w:rPr>
          <w:rFonts w:hint="eastAsia" w:ascii="仿宋" w:hAnsi="仿宋" w:eastAsia="仿宋"/>
          <w:bCs/>
          <w:sz w:val="32"/>
          <w:szCs w:val="32"/>
        </w:rPr>
        <w:t>根据中央、省、市关于教育经费“两个只增不减”文件精神，结合教育部门人员增加及项目预算实际，导致教育经费年度预算支出增加。</w:t>
      </w:r>
      <w:r>
        <w:drawing>
          <wp:inline distT="0" distB="0" distL="114300" distR="114300">
            <wp:extent cx="5494655" cy="2942590"/>
            <wp:effectExtent l="4445" t="4445" r="6350" b="571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一般公共预算拨款支出25338.63万元，其中：教育支出18948.85万元，占74.78%；社会保障和就业支出4088.15万元，占16.14%，卫生健康支出861.50万元，占3.40%，住房保障支出1440.13万元，占5.68%。具体安排情况如下：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2024年本部门基本支出预算数19118.80万元，主要是为保障部门正常运转、完成日常工作任务而发生的各项支出，包括用于基本工资、津贴补贴等人员经费以及办公费、印刷费、水电费、办公设备购置等公用经费。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项目支出预算6219.83万元，主要是本部门为完成特定工作任务或事业发展目标而发生的支出，包括有关事业发展专项、专项业务费、基本建设支出等，其中：教育支出6219.83万元，主要用于全区教育事业“三保”支出和项目发展资金支出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2024年度本部门无政府性基金安排的支出，所以公开的附件15-17表（政府性基金预算）为空。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2024年本部门机关本级1家行政事业单位的机关运行经费64.57万元，比上年预算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21.42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%。主要原因是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厉行节约，压缩了公用经费预算支出，导致机关运行经费下降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机关本级1家行政事业单位“三公”经费预算数为1万元，其中，公务接待费1万元，公务用车购置及运行费0万元（其中，公务用车购置费0万元，公务用车运行费0万元），因公出国（境）费0万元。2024年“三公”经费预算较2023年减少2万元，主要原因是严格落实中央“八项规定”精神和“过紧日子”的要求，从严控制“三公”经费支出。</w:t>
      </w:r>
      <w:bookmarkStart w:id="0" w:name="END_IS_ZERO_06_1"/>
      <w:bookmarkEnd w:id="0"/>
      <w:bookmarkStart w:id="1" w:name="DIS_MARK_IS_ZERO_06_2"/>
      <w:bookmarkEnd w:id="1"/>
      <w:bookmarkStart w:id="2" w:name="END_IS_ZERO_06_2"/>
      <w:bookmarkEnd w:id="2"/>
      <w:bookmarkStart w:id="3" w:name="START_IS_ZERO_06_2"/>
      <w:bookmarkEnd w:id="3"/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2024年本部门会议费预算0万元，拟召开0次会议，人数0人；培训费预算0万元，拟开展0培训，人数0人；2024年度本部门未计划举办节庆、晚会、论坛、赛事活动。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2024年本部门政府采购预算总额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1439.87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761.45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501.22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177.20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本部门所有支出实行绩效目标管理。纳入2024年部门整体支出绩效目标的金额为25747.63万元，其中，基本支出19118.80万元，项目支出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6628.83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万元，具体绩效目标详见文尾附表中部门预算公开表21-22表。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是指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4"/>
        <w:adjustRightInd w:val="0"/>
        <w:snapToGrid w:val="0"/>
        <w:spacing w:beforeAutospacing="0" w:afterAutospacing="0" w:line="360" w:lineRule="auto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adjustRightInd w:val="0"/>
        <w:snapToGrid w:val="0"/>
        <w:spacing w:beforeAutospacing="0" w:afterAutospacing="0" w:line="360" w:lineRule="auto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adjustRightInd w:val="0"/>
        <w:snapToGrid w:val="0"/>
        <w:spacing w:beforeAutospacing="0" w:afterAutospacing="0" w:line="360" w:lineRule="auto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adjustRightInd w:val="0"/>
        <w:snapToGrid w:val="0"/>
        <w:spacing w:beforeAutospacing="0" w:afterAutospacing="0" w:line="360" w:lineRule="auto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adjustRightInd w:val="0"/>
        <w:snapToGrid w:val="0"/>
        <w:spacing w:beforeAutospacing="0" w:afterAutospacing="0" w:line="360" w:lineRule="auto"/>
        <w:jc w:val="center"/>
        <w:textAlignment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第二部分  2024年部门预算公开表格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4"/>
        <w:adjustRightInd w:val="0"/>
        <w:snapToGrid w:val="0"/>
        <w:spacing w:beforeAutospacing="0" w:afterAutospacing="0" w:line="360" w:lineRule="auto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4"/>
        <w:adjustRightInd w:val="0"/>
        <w:snapToGrid w:val="0"/>
        <w:spacing w:beforeAutospacing="0" w:afterAutospacing="0" w:line="360" w:lineRule="auto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4"/>
        <w:adjustRightInd w:val="0"/>
        <w:snapToGrid w:val="0"/>
        <w:spacing w:beforeAutospacing="0" w:afterAutospacing="0" w:line="360" w:lineRule="auto"/>
        <w:ind w:firstLine="643" w:firstLineChars="200"/>
        <w:jc w:val="both"/>
        <w:textAlignment w:val="center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</w:rPr>
        <w:t>附件：岳阳市君山区教育局2024年部门预算公开表</w:t>
      </w:r>
    </w:p>
    <w:p>
      <w:pPr>
        <w:pStyle w:val="4"/>
        <w:adjustRightInd w:val="0"/>
        <w:snapToGrid w:val="0"/>
        <w:spacing w:beforeAutospacing="0" w:afterAutospacing="0" w:line="360" w:lineRule="auto"/>
        <w:jc w:val="both"/>
        <w:textAlignment w:val="center"/>
        <w:rPr>
          <w:rFonts w:asciiTheme="minorEastAsia" w:hAnsiTheme="minorEastAsia" w:cstheme="minorEastAsia"/>
          <w:b/>
          <w:bCs/>
          <w:color w:val="333333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360" w:lineRule="auto"/>
      </w:pPr>
    </w:p>
    <w:sectPr>
      <w:pgSz w:w="11906" w:h="16838"/>
      <w:pgMar w:top="1383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0883F26"/>
    <w:rsid w:val="00B00DBC"/>
    <w:rsid w:val="010D1261"/>
    <w:rsid w:val="05974297"/>
    <w:rsid w:val="066547B5"/>
    <w:rsid w:val="0794481D"/>
    <w:rsid w:val="07EF7F86"/>
    <w:rsid w:val="0BC81D71"/>
    <w:rsid w:val="0BD240F7"/>
    <w:rsid w:val="0C923A83"/>
    <w:rsid w:val="0E5B42C5"/>
    <w:rsid w:val="112B4160"/>
    <w:rsid w:val="11A2545A"/>
    <w:rsid w:val="13BD7B57"/>
    <w:rsid w:val="13D7584F"/>
    <w:rsid w:val="167C1082"/>
    <w:rsid w:val="16FB76F0"/>
    <w:rsid w:val="1C3404B6"/>
    <w:rsid w:val="1C6F6CFF"/>
    <w:rsid w:val="1C744CBF"/>
    <w:rsid w:val="1ECC4DAF"/>
    <w:rsid w:val="1F8F2DF1"/>
    <w:rsid w:val="20A472CE"/>
    <w:rsid w:val="20CE0ED9"/>
    <w:rsid w:val="21C916A0"/>
    <w:rsid w:val="232333DF"/>
    <w:rsid w:val="2C8B2374"/>
    <w:rsid w:val="2CD84711"/>
    <w:rsid w:val="2D3A78E3"/>
    <w:rsid w:val="328F1D91"/>
    <w:rsid w:val="3D622C7D"/>
    <w:rsid w:val="42E21F14"/>
    <w:rsid w:val="436D70FC"/>
    <w:rsid w:val="45C820B2"/>
    <w:rsid w:val="4AF62C56"/>
    <w:rsid w:val="4CD24137"/>
    <w:rsid w:val="4DBA372C"/>
    <w:rsid w:val="4E511DD4"/>
    <w:rsid w:val="4EE728E7"/>
    <w:rsid w:val="4F3F3CB9"/>
    <w:rsid w:val="51B62990"/>
    <w:rsid w:val="5B525B22"/>
    <w:rsid w:val="5BCD52BC"/>
    <w:rsid w:val="62CB7F2F"/>
    <w:rsid w:val="637274E6"/>
    <w:rsid w:val="68675E30"/>
    <w:rsid w:val="6D6656CC"/>
    <w:rsid w:val="6DE7565E"/>
    <w:rsid w:val="73626AED"/>
    <w:rsid w:val="75084864"/>
    <w:rsid w:val="78CC0C1A"/>
    <w:rsid w:val="7C7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I:\&#35745;&#36130;&#32929;\2024\2024&#24180;&#37096;&#38376;&#39044;&#31639;&#20844;&#24320;\&#25945;&#32946;&#31995;&#32479;&#21508;&#21333;&#20301;2024&#24180;&#37096;&#38376;&#39044;&#31639;&#20844;&#24320;&#19978;&#25253;\&#25945;&#32946;&#23616;&#27719;&#24635;\127&#25945;&#32946;&#23616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I:\&#35745;&#36130;&#32929;\2024\2024&#24180;&#37096;&#38376;&#39044;&#31639;&#20844;&#24320;\&#25945;&#32946;&#31995;&#32479;&#21508;&#21333;&#20301;2024&#24180;&#37096;&#38376;&#39044;&#31639;&#20844;&#24320;&#19978;&#25253;\&#25945;&#32946;&#23616;&#27719;&#24635;\127&#25945;&#32946;&#2361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5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="1"/>
              <a:t>收入预算图</a:t>
            </a:r>
            <a:endParaRPr lang="zh-CN" altLang="en-US" sz="1500" b="1"/>
          </a:p>
        </c:rich>
      </c:tx>
      <c:layout>
        <c:manualLayout>
          <c:xMode val="edge"/>
          <c:yMode val="edge"/>
          <c:x val="0.393959569059436"/>
          <c:y val="0.0057892705519104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8879056047198"/>
          <c:y val="0.115999391079312"/>
          <c:w val="0.605781710914454"/>
          <c:h val="0.781549703151165"/>
        </c:manualLayout>
      </c:layout>
      <c:pieChart>
        <c:varyColors val="1"/>
        <c:ser>
          <c:idx val="0"/>
          <c:order val="0"/>
          <c:tx>
            <c:strRef>
              <c:f>[127教育局.xlsx]Sheet2!$F$22</c:f>
              <c:strCache>
                <c:ptCount val="1"/>
                <c:pt idx="0">
                  <c:v>总和("金额(万元)")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316387996312398"/>
                  <c:y val="-0.30428366766669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 b="0"/>
                      <a:t>一般公共预算拨款 </a:t>
                    </a:r>
                    <a:r>
                      <a:rPr lang="en-US" altLang="zh-CN" b="0"/>
                      <a:t>98.41%</a:t>
                    </a:r>
                    <a:endParaRPr lang="en-US" altLang="zh-CN" b="0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97123475429534"/>
                  <c:y val="0.062699578754768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 b="0"/>
                      <a:t>财政专户管理资金 </a:t>
                    </a:r>
                    <a:r>
                      <a:rPr lang="en-US" altLang="zh-CN" b="0"/>
                      <a:t>1.59%</a:t>
                    </a:r>
                    <a:endParaRPr lang="en-US" altLang="zh-CN" b="0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1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[127教育局.xlsx]Sheet2!$G$21:$H$21</c:f>
              <c:strCache>
                <c:ptCount val="2"/>
                <c:pt idx="0">
                  <c:v>一般公共预算拨款</c:v>
                </c:pt>
                <c:pt idx="1">
                  <c:v>财政专户管理资金</c:v>
                </c:pt>
              </c:strCache>
            </c:strRef>
          </c:cat>
          <c:val>
            <c:numRef>
              <c:f>[127教育局.xlsx]Sheet2!$G$22:$H$22</c:f>
              <c:numCache>
                <c:formatCode>General</c:formatCode>
                <c:ptCount val="2"/>
                <c:pt idx="0">
                  <c:v>25338.63</c:v>
                </c:pt>
                <c:pt idx="1">
                  <c:v>409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b="0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支出预算图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44270131143523"/>
          <c:y val="0.135154310039021"/>
          <c:w val="0.515136658904278"/>
          <c:h val="0.745477119545938"/>
        </c:manualLayout>
      </c:layout>
      <c:pieChart>
        <c:varyColors val="1"/>
        <c:ser>
          <c:idx val="0"/>
          <c:order val="0"/>
          <c:tx>
            <c:strRef>
              <c:f>[127教育局.xlsx]Sheet3!$D$22</c:f>
              <c:strCache>
                <c:ptCount val="1"/>
                <c:pt idx="0">
                  <c:v>总和("列2")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487715825568194"/>
                  <c:y val="-0.051940670149848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教育支出 </a:t>
                    </a:r>
                    <a:r>
                      <a:rPr lang="en-US" altLang="zh-CN"/>
                      <a:t>75.18%</a:t>
                    </a:r>
                    <a:endParaRPr lang="en-US" altLang="zh-CN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16937915483477"/>
                  <c:y val="0.25496369389310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社会保障和就业支出 </a:t>
                    </a:r>
                    <a:r>
                      <a:rPr lang="en-US" altLang="zh-CN"/>
                      <a:t>15.88%</a:t>
                    </a:r>
                    <a:endParaRPr lang="en-US" altLang="zh-CN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11429087291299"/>
                  <c:y val="0.094467096061168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住房保障支出 </a:t>
                    </a:r>
                    <a:r>
                      <a:rPr lang="en-US" altLang="zh-CN"/>
                      <a:t>5.59%</a:t>
                    </a:r>
                    <a:endParaRPr lang="en-US" altLang="zh-CN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209162258700199"/>
                  <c:y val="0.088729918436399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zh-CN" altLang="en-US"/>
                      <a:t>卫生健康支出</a:t>
                    </a:r>
                    <a:r>
                      <a:rPr lang="en-US" altLang="zh-CN"/>
                      <a:t>3.35%</a:t>
                    </a:r>
                    <a:endParaRPr lang="en-US" altLang="zh-CN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1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[127教育局.xlsx]Sheet3!$E$21:$H$21</c:f>
              <c:strCache>
                <c:ptCount val="4"/>
                <c:pt idx="0">
                  <c:v>教育支出</c:v>
                </c:pt>
                <c:pt idx="1">
                  <c:v>社会保障和就业支出</c:v>
                </c:pt>
                <c:pt idx="2">
                  <c:v>住房保障支出</c:v>
                </c:pt>
                <c:pt idx="3">
                  <c:v>卫生健康支出</c:v>
                </c:pt>
              </c:strCache>
            </c:strRef>
          </c:cat>
          <c:val>
            <c:numRef>
              <c:f>[127教育局.xlsx]Sheet3!$E$22:$H$22</c:f>
              <c:numCache>
                <c:formatCode>General</c:formatCode>
                <c:ptCount val="4"/>
                <c:pt idx="0">
                  <c:v>19357.85</c:v>
                </c:pt>
                <c:pt idx="1">
                  <c:v>4088.15</c:v>
                </c:pt>
                <c:pt idx="2">
                  <c:v>1440.13</c:v>
                </c:pt>
                <c:pt idx="3">
                  <c:v>861.5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5047</Words>
  <Characters>5411</Characters>
  <Lines>4</Lines>
  <Paragraphs>11</Paragraphs>
  <TotalTime>1</TotalTime>
  <ScaleCrop>false</ScaleCrop>
  <LinksUpToDate>false</LinksUpToDate>
  <CharactersWithSpaces>5418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2024-06-23T03:40:06Z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60BC7339106041DA91BAB39D0CD3151D_13</vt:lpwstr>
  </property>
</Properties>
</file>