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岳阳市君山区钱粮湖镇中学</w:t>
      </w:r>
    </w:p>
    <w:p>
      <w:pPr>
        <w:spacing w:line="570" w:lineRule="atLeast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/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、认真贯彻执行国家有关财经法规和学校财务制度。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、负责组织编制学校部门预算，并上报上级主管部门；组织编制学校预算，并对预算执行、调整等进行日常管理工作。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、负责做好年终决算及会计报表的编制、审核，编写年度部门决算分析评价报告及上报工作。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、负责配合领导争取国家财政拨款，多渠道筹集资金，建立和巩固良好的对外合作关系。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5、负责协调教育、财政、审计、税务等上级部门和学校纪监审等部门的专项检查工作。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6、负责学校教育工会会计核算、报表编制等财务管理工作。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7、负责学校会计人员的管理、继续教育培训等工作。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8、配合其他处室开展各项工作。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9、配合其他科室开展各项工作，完成领导交办的其他工作。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岳阳市君山区钱粮湖镇中学为君山区教育局所属公益一类事业单位，经费形式为财政全额拨款。学校核定编制数64名，其中全额编制64名，差额编制0名，自收自支0名。该单位部门预算实有人员121人，其中在职人员64人，离休人员0人，退休人员57人，其他人员0人。现有教学班15个，学生699人。岳阳市君山区钱粮湖镇中学设置了校长室、办公室、政教处、教务处、总务处、工会6个内设机构。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岳阳市君山区</w:t>
      </w:r>
      <w:r>
        <w:rPr>
          <w:rFonts w:hint="eastAsia" w:ascii="仿宋_GB2312" w:eastAsia="仿宋_GB2312"/>
          <w:sz w:val="32"/>
          <w:szCs w:val="32"/>
        </w:rPr>
        <w:t>粮湖镇中</w:t>
      </w:r>
      <w:r>
        <w:rPr>
          <w:rFonts w:hint="eastAsia" w:eastAsia="仿宋_GB2312"/>
          <w:sz w:val="32"/>
          <w:szCs w:val="32"/>
        </w:rPr>
        <w:t>学</w:t>
      </w:r>
      <w:r>
        <w:rPr>
          <w:rFonts w:eastAsia="仿宋_GB2312"/>
          <w:sz w:val="32"/>
          <w:szCs w:val="32"/>
        </w:rPr>
        <w:t>部门</w:t>
      </w:r>
      <w:r>
        <w:rPr>
          <w:rFonts w:hint="eastAsia" w:eastAsia="仿宋_GB2312"/>
          <w:sz w:val="32"/>
          <w:szCs w:val="32"/>
        </w:rPr>
        <w:t>只</w:t>
      </w:r>
      <w:r>
        <w:rPr>
          <w:rFonts w:eastAsia="仿宋_GB2312"/>
          <w:sz w:val="32"/>
          <w:szCs w:val="32"/>
        </w:rPr>
        <w:t>有本级，</w:t>
      </w:r>
      <w:r>
        <w:rPr>
          <w:rFonts w:hint="eastAsia" w:eastAsia="仿宋_GB2312"/>
          <w:sz w:val="32"/>
          <w:szCs w:val="32"/>
        </w:rPr>
        <w:t>没有</w:t>
      </w:r>
      <w:r>
        <w:rPr>
          <w:rFonts w:eastAsia="仿宋_GB2312"/>
          <w:sz w:val="32"/>
          <w:szCs w:val="32"/>
        </w:rPr>
        <w:t>其他二级</w:t>
      </w:r>
      <w:r>
        <w:rPr>
          <w:rFonts w:hint="eastAsia" w:eastAsia="仿宋_GB2312"/>
          <w:sz w:val="32"/>
          <w:szCs w:val="32"/>
        </w:rPr>
        <w:t>预算</w:t>
      </w:r>
      <w:r>
        <w:rPr>
          <w:rFonts w:eastAsia="仿宋_GB2312"/>
          <w:sz w:val="32"/>
          <w:szCs w:val="32"/>
        </w:rPr>
        <w:t>单位，</w:t>
      </w:r>
      <w:r>
        <w:rPr>
          <w:rFonts w:hint="eastAsia" w:eastAsia="仿宋_GB2312"/>
          <w:sz w:val="32"/>
          <w:szCs w:val="32"/>
        </w:rPr>
        <w:t>纳入2024年部门预算编制范围的只有君山区钱粮湖镇中学本级。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15、16、17、18、19表均为空。</w:t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包括一般公共预算、政府性基金、国有资本经营预算等财政拨款收入，以及经营收入、事业收入等单位资金。2024年本单位收入预算1218.49万元，其中，一般公共预算拨款1218.49万元，政府性基金预算资金0.00万元(所以部门预算公开表15-17表为空)，国有资本经营预算资金0.00万元(所以部门预算公开表18表为空)，财政专户管理资金0.00万元(所以部门预算公开表19表为空)，上级补助收入资金0.00万元，事业单位经营收入资金0.00万元，上年结转结余0.00万元。收入较上年减少1084.23万元，下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47.08%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。主要原因是钱粮湖中心校并入实验小学，从而导致人员经费和公用经费减少。</w:t>
      </w:r>
    </w:p>
    <w:p>
      <w:pPr>
        <w:pStyle w:val="2"/>
        <w:ind w:firstLine="0"/>
      </w:pPr>
      <w:r>
        <w:drawing>
          <wp:inline distT="0" distB="0" distL="114300" distR="114300">
            <wp:extent cx="5248275" cy="2657475"/>
            <wp:effectExtent l="6350" t="6350" r="22225" b="2222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ind w:firstLine="0"/>
      </w:pP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2024年本单位支出预算1218.49万元，其中：教育支出885.76万元，社会保障和就业支出202.16万元，卫生健康支出50.94万元，住房保障支出79.63万元。支出较上年减少1084.23万元，下降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47.08%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。主要原因是钱粮湖中心校并入实验小学，从而导致人员经费和公用经费预算支出减少。</w:t>
      </w:r>
    </w:p>
    <w:p>
      <w:pPr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drawing>
          <wp:inline distT="0" distB="0" distL="114300" distR="114300">
            <wp:extent cx="5151755" cy="3458210"/>
            <wp:effectExtent l="4445" t="4445" r="6350" b="2349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2024年本单位一般公共预算拨款支出1218.49万元，其中：教育支出885.76万元，占72.69%；社会保障和就业支出202.16万元，占16.59%。卫生健康支出50.94万元，占4.18%。住房保障支出79.63万元，占6.5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%。具体安排情况如下：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2024年本单位基本支出预算数1052.81万元，主要是为保障单位正常运转、完成日常工作任务而发生的各项支出，包括用于基本工资、津贴补贴等人员经费以及办公费、印刷费、水电费、办公设备购置等公用经费。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项目支出预算165.68万元，主要是本单位为完成特定工作任务或事业发展目标而发生的支出，包括有关事业发展专项、专项业务费、基本建设支出等，其中：教育支出165.68万元，主要用于学校大型维修及提质改造等方面。</w:t>
      </w: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ind w:firstLine="640" w:firstLineChars="200"/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2024年岳阳市君山区钱粮湖镇中学机关运行经费0万元，与上年预算相等，主要原因为本单位属公益一类事业单位，无机关运行经费预算。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（二）“三公”经费预算：</w:t>
      </w:r>
      <w:bookmarkStart w:id="0" w:name="DIS_MARK_IS_ZERO_06_2"/>
      <w:bookmarkEnd w:id="0"/>
      <w:bookmarkStart w:id="1" w:name="END_IS_ZERO_06_1"/>
      <w:bookmarkEnd w:id="1"/>
      <w:bookmarkStart w:id="2" w:name="END_IS_ZERO_06_2"/>
      <w:bookmarkEnd w:id="2"/>
      <w:bookmarkStart w:id="3" w:name="START_IS_ZERO_06_2"/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“三公”经费预算数为0万元，其中，公务接待费0万元，公务用车购置及运行费0万元（其中，公务用车购置费0万元，公务用车运行费0万元），因公出国（境）费0万元。2024年“三公”经费预算较2023年持平，主要原因是主要是严格落实中央“八项规定”精神和“过紧日子”的要求，从严控制“三公”经费支出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2024年本单位会议费预算0万元，拟召开0次会议，人数0人；培训费预算0万元，拟开展0次培训，人数0人；2024年度本部门未计划举办节庆、晚会、论坛、赛事活动。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2024年本单位政府采购预算总额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89.37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29.65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45.22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14.50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本单位所有支出实行绩效目标管理。纳入2024年单位整体支出绩效目标的金额为1218.49万元，其中，基本支出1052.81万元，项目支出165.68万元，具体绩效目标详见文尾附表中部门预算公开表21-22表。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  <w:bookmarkStart w:id="4" w:name="_GoBack"/>
      <w:bookmarkEnd w:id="4"/>
      <w:r>
        <w:rPr>
          <w:rFonts w:hint="eastAsia" w:ascii="方正小标宋简体" w:hAnsi="Times New Roman" w:eastAsia="方正小标宋简体"/>
          <w:b/>
          <w:bCs/>
          <w:sz w:val="36"/>
          <w:szCs w:val="36"/>
        </w:rPr>
        <w:t>第二部分  2024年部门预算公开表格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注：以上部门预算公开报表中，空表表示本单位无相关收支情况。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附件：岳阳市君山区钱粮湖镇中学2024年部门预算公开表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637274E6"/>
    <w:rsid w:val="00195DF1"/>
    <w:rsid w:val="0057243E"/>
    <w:rsid w:val="008422F6"/>
    <w:rsid w:val="01EC3E90"/>
    <w:rsid w:val="02140C7A"/>
    <w:rsid w:val="046523F8"/>
    <w:rsid w:val="088363E7"/>
    <w:rsid w:val="089C03B5"/>
    <w:rsid w:val="0AD8381E"/>
    <w:rsid w:val="0B172D74"/>
    <w:rsid w:val="0B5218A1"/>
    <w:rsid w:val="0B653E82"/>
    <w:rsid w:val="0E042561"/>
    <w:rsid w:val="0F2A3A2C"/>
    <w:rsid w:val="10797237"/>
    <w:rsid w:val="16042156"/>
    <w:rsid w:val="16247C45"/>
    <w:rsid w:val="167C1082"/>
    <w:rsid w:val="192632E6"/>
    <w:rsid w:val="1B6F1962"/>
    <w:rsid w:val="1C744CBF"/>
    <w:rsid w:val="1C914169"/>
    <w:rsid w:val="1D152316"/>
    <w:rsid w:val="1D555BA7"/>
    <w:rsid w:val="1DEA4A8C"/>
    <w:rsid w:val="1F572E39"/>
    <w:rsid w:val="1F8154A2"/>
    <w:rsid w:val="1FA71805"/>
    <w:rsid w:val="20034AD4"/>
    <w:rsid w:val="22767EB0"/>
    <w:rsid w:val="22861ED8"/>
    <w:rsid w:val="22E960B4"/>
    <w:rsid w:val="27562CA6"/>
    <w:rsid w:val="286F1B1C"/>
    <w:rsid w:val="2892128D"/>
    <w:rsid w:val="28D728F5"/>
    <w:rsid w:val="2A3F50E2"/>
    <w:rsid w:val="2A5121BC"/>
    <w:rsid w:val="2A5727A7"/>
    <w:rsid w:val="2B3247EE"/>
    <w:rsid w:val="2DC518B5"/>
    <w:rsid w:val="2E2A588D"/>
    <w:rsid w:val="2E9372BE"/>
    <w:rsid w:val="30F54535"/>
    <w:rsid w:val="328F1D91"/>
    <w:rsid w:val="332A4940"/>
    <w:rsid w:val="36214EDF"/>
    <w:rsid w:val="36BF5F4D"/>
    <w:rsid w:val="395E7E49"/>
    <w:rsid w:val="398C704B"/>
    <w:rsid w:val="3A486D41"/>
    <w:rsid w:val="3BF16919"/>
    <w:rsid w:val="3CB10683"/>
    <w:rsid w:val="3E4B1963"/>
    <w:rsid w:val="40731651"/>
    <w:rsid w:val="40BA4B7E"/>
    <w:rsid w:val="42E3660E"/>
    <w:rsid w:val="4601059C"/>
    <w:rsid w:val="4602087F"/>
    <w:rsid w:val="468A07AF"/>
    <w:rsid w:val="4748485A"/>
    <w:rsid w:val="4AFC64BF"/>
    <w:rsid w:val="4BBE358A"/>
    <w:rsid w:val="4E514D65"/>
    <w:rsid w:val="4EE728E7"/>
    <w:rsid w:val="4F0307B2"/>
    <w:rsid w:val="4F302902"/>
    <w:rsid w:val="500A6199"/>
    <w:rsid w:val="52077AEA"/>
    <w:rsid w:val="55E76771"/>
    <w:rsid w:val="58AA6296"/>
    <w:rsid w:val="58AF2EC0"/>
    <w:rsid w:val="59E55DEA"/>
    <w:rsid w:val="5A13112F"/>
    <w:rsid w:val="5BC30933"/>
    <w:rsid w:val="5C565818"/>
    <w:rsid w:val="5DC12353"/>
    <w:rsid w:val="60B42209"/>
    <w:rsid w:val="60BF18A2"/>
    <w:rsid w:val="623D7EDE"/>
    <w:rsid w:val="637274E6"/>
    <w:rsid w:val="63E65795"/>
    <w:rsid w:val="65B57FA7"/>
    <w:rsid w:val="675A13CF"/>
    <w:rsid w:val="682C3048"/>
    <w:rsid w:val="6B1B73BC"/>
    <w:rsid w:val="6F4B168B"/>
    <w:rsid w:val="70F118E0"/>
    <w:rsid w:val="71704C61"/>
    <w:rsid w:val="719F6C19"/>
    <w:rsid w:val="7432157C"/>
    <w:rsid w:val="78CC0C1A"/>
    <w:rsid w:val="799016D3"/>
    <w:rsid w:val="7AE949AB"/>
    <w:rsid w:val="7C18158F"/>
    <w:rsid w:val="7C1F350C"/>
    <w:rsid w:val="7D266D66"/>
    <w:rsid w:val="7D3375C4"/>
    <w:rsid w:val="7E7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I:\&#35745;&#36130;&#32929;\2024\2024&#24180;&#37096;&#38376;&#39044;&#31639;&#20844;&#24320;\&#25945;&#32946;&#31995;&#32479;&#21508;&#21333;&#20301;2024&#24180;&#37096;&#38376;&#39044;&#31639;&#20844;&#24320;&#19978;&#25253;\&#38065;&#31918;&#28246;&#38215;&#20013;&#23398;2024&#24180;&#39044;&#31639;&#20844;&#24320;\127008&#38065;&#31918;&#28246;&#20013;&#2339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收入预算图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b="1"/>
              <a:t>支出预算图</a:t>
            </a:r>
            <a:endParaRPr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[127008钱粮湖中学.xlsx]Sheet1!$D$22</c:f>
              <c:strCache>
                <c:ptCount val="1"/>
                <c:pt idx="0">
                  <c:v>总和("列2")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566855205151563"/>
                  <c:y val="-0.041246089169559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b="0"/>
                      <a:t>教育支出 7</a:t>
                    </a:r>
                    <a:r>
                      <a:rPr lang="en-US" altLang="zh-CN" b="0"/>
                      <a:t>2.69</a:t>
                    </a:r>
                    <a:r>
                      <a:rPr b="0"/>
                      <a:t>%</a:t>
                    </a:r>
                    <a:endParaRPr b="0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76886532175463"/>
                  <c:y val="0.082419144374871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b="0"/>
                      <a:t>社会保障和就业支出 1</a:t>
                    </a:r>
                    <a:r>
                      <a:rPr lang="en-US" altLang="zh-CN" b="0"/>
                      <a:t>6.59</a:t>
                    </a:r>
                    <a:r>
                      <a:rPr b="0"/>
                      <a:t>%</a:t>
                    </a:r>
                    <a:endParaRPr b="0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00544465076988"/>
                  <c:y val="0.1276767554417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b="0"/>
                      <a:t>住房保障支出 6</a:t>
                    </a:r>
                    <a:r>
                      <a:rPr lang="en-US" altLang="zh-CN" b="0"/>
                      <a:t>.54</a:t>
                    </a:r>
                    <a:r>
                      <a:rPr b="0"/>
                      <a:t>%</a:t>
                    </a:r>
                    <a:endParaRPr b="0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09061311813001"/>
                  <c:y val="0.12947651173698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b="0"/>
                      <a:t>卫生健康支出 4</a:t>
                    </a:r>
                    <a:r>
                      <a:rPr lang="en-US" altLang="zh-CN" b="0"/>
                      <a:t>.18</a:t>
                    </a:r>
                    <a:r>
                      <a:rPr b="0"/>
                      <a:t>%</a:t>
                    </a:r>
                    <a:endParaRPr b="0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1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[127008钱粮湖中学.xlsx]Sheet1!$E$21:$H$21</c:f>
              <c:strCache>
                <c:ptCount val="4"/>
                <c:pt idx="0">
                  <c:v>教育支出</c:v>
                </c:pt>
                <c:pt idx="1">
                  <c:v>社会保障和就业支出</c:v>
                </c:pt>
                <c:pt idx="2">
                  <c:v>住房保障支出</c:v>
                </c:pt>
                <c:pt idx="3">
                  <c:v>卫生健康支出</c:v>
                </c:pt>
              </c:strCache>
            </c:strRef>
          </c:cat>
          <c:val>
            <c:numRef>
              <c:f>[127008钱粮湖中学.xlsx]Sheet1!$E$22:$H$22</c:f>
              <c:numCache>
                <c:formatCode>General</c:formatCode>
                <c:ptCount val="4"/>
                <c:pt idx="0">
                  <c:v>885.76</c:v>
                </c:pt>
                <c:pt idx="1">
                  <c:v>202.16</c:v>
                </c:pt>
                <c:pt idx="2">
                  <c:v>79.63</c:v>
                </c:pt>
                <c:pt idx="3">
                  <c:v>50.94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b="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3590</Words>
  <Characters>3889</Characters>
  <Lines>3</Lines>
  <Paragraphs>8</Paragraphs>
  <TotalTime>17</TotalTime>
  <ScaleCrop>false</ScaleCrop>
  <LinksUpToDate>false</LinksUpToDate>
  <CharactersWithSpaces>3898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2024-06-23T03:56:41Z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26CFDA70481E4B51BDBCA409B1A25DBA_13</vt:lpwstr>
  </property>
</Properties>
</file>