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黑体" w:hAnsi="黑体" w:eastAsia="黑体" w:cs="黑体"/>
          <w:b/>
          <w:bCs/>
          <w:sz w:val="44"/>
          <w:szCs w:val="44"/>
        </w:rPr>
      </w:pPr>
      <w:r>
        <w:rPr>
          <w:rFonts w:hint="eastAsia" w:ascii="黑体" w:hAnsi="黑体" w:eastAsia="黑体" w:cs="黑体"/>
          <w:b/>
          <w:bCs/>
          <w:sz w:val="44"/>
          <w:szCs w:val="44"/>
        </w:rPr>
        <w:t>岳阳市君山区职业技术学校</w:t>
      </w:r>
    </w:p>
    <w:p>
      <w:pPr>
        <w:spacing w:line="570" w:lineRule="atLeast"/>
        <w:jc w:val="center"/>
        <w:rPr>
          <w:rFonts w:ascii="黑体" w:hAnsi="黑体" w:eastAsia="黑体" w:cs="黑体"/>
          <w:b/>
          <w:bCs/>
          <w:sz w:val="48"/>
          <w:szCs w:val="48"/>
        </w:rPr>
      </w:pPr>
      <w:r>
        <w:rPr>
          <w:rFonts w:hint="eastAsia" w:ascii="黑体" w:hAnsi="黑体" w:eastAsia="黑体" w:cs="黑体"/>
          <w:b/>
          <w:bCs/>
          <w:sz w:val="44"/>
          <w:szCs w:val="44"/>
        </w:rPr>
        <w:t>2024年部门预算公开</w:t>
      </w:r>
    </w:p>
    <w:p/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ind w:firstLine="643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asciiTheme="minorEastAsia" w:hAnsi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spacing w:line="570" w:lineRule="atLeast"/>
        <w:ind w:firstLine="643" w:firstLineChars="200"/>
        <w:rPr>
          <w:rFonts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spacing w:line="570" w:lineRule="atLeast"/>
        <w:ind w:firstLine="643" w:firstLineChars="200"/>
        <w:rPr>
          <w:rFonts w:asciiTheme="minorEastAsia" w:hAnsi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widowControl/>
        <w:spacing w:line="570" w:lineRule="atLeast"/>
        <w:ind w:firstLine="630" w:firstLineChars="196"/>
        <w:jc w:val="left"/>
        <w:rPr>
          <w:rFonts w:eastAsia="楷体_GB2312"/>
          <w:b/>
          <w:sz w:val="32"/>
          <w:szCs w:val="32"/>
        </w:rPr>
      </w:pPr>
      <w:r>
        <w:rPr>
          <w:rFonts w:eastAsia="楷体_GB2312"/>
          <w:b/>
          <w:sz w:val="32"/>
          <w:szCs w:val="32"/>
        </w:rPr>
        <w:t>（一）职能职责</w:t>
      </w:r>
    </w:p>
    <w:p>
      <w:pPr>
        <w:widowControl/>
        <w:spacing w:line="570" w:lineRule="atLeast"/>
        <w:ind w:firstLine="707" w:firstLineChars="221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1、认真贯彻执行国家有关财经法规和学校财务制度。</w:t>
      </w:r>
    </w:p>
    <w:p>
      <w:pPr>
        <w:widowControl/>
        <w:spacing w:line="570" w:lineRule="atLeast"/>
        <w:ind w:firstLine="707" w:firstLineChars="221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2、负责组织编制学校部门预算，并上报上级主管部门；组织编制学校预算，并对预算执行、调整等进行日常管理工作。</w:t>
      </w:r>
    </w:p>
    <w:p>
      <w:pPr>
        <w:widowControl/>
        <w:tabs>
          <w:tab w:val="left" w:pos="1276"/>
        </w:tabs>
        <w:spacing w:line="570" w:lineRule="atLeast"/>
        <w:ind w:firstLine="707" w:firstLineChars="221"/>
        <w:jc w:val="left"/>
        <w:rPr>
          <w:rFonts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3、负责做好年终决算及会计报表的编制、审核，编写年度部门决算分析评价报告及上报工作。</w:t>
      </w:r>
    </w:p>
    <w:p>
      <w:pPr>
        <w:widowControl/>
        <w:spacing w:line="570" w:lineRule="atLeast"/>
        <w:ind w:firstLine="707" w:firstLineChars="221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4、负责配合领导争取国家财政拨款，多渠道筹集资金，建立和巩固良好的对外合作关系。</w:t>
      </w:r>
    </w:p>
    <w:p>
      <w:pPr>
        <w:widowControl/>
        <w:spacing w:line="570" w:lineRule="atLeast"/>
        <w:ind w:firstLine="707" w:firstLineChars="221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5、负责协调教育、财政、审计、税务等上级部门和学校纪监审等部门的专项检查工作。</w:t>
      </w:r>
    </w:p>
    <w:p>
      <w:pPr>
        <w:widowControl/>
        <w:spacing w:line="570" w:lineRule="atLeast"/>
        <w:ind w:firstLine="707" w:firstLineChars="221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6、负责学校教育工会会计核算、报表编制等财务管理工作。</w:t>
      </w:r>
    </w:p>
    <w:p>
      <w:pPr>
        <w:widowControl/>
        <w:spacing w:line="570" w:lineRule="atLeast"/>
        <w:ind w:firstLine="707" w:firstLineChars="221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7、负责学校会计人员的管理、继续教育培训等工作。</w:t>
      </w:r>
    </w:p>
    <w:p>
      <w:pPr>
        <w:widowControl/>
        <w:spacing w:line="570" w:lineRule="atLeast"/>
        <w:ind w:firstLine="707" w:firstLineChars="221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8、配合其他处室开展各项工作。</w:t>
      </w:r>
    </w:p>
    <w:p>
      <w:pPr>
        <w:widowControl/>
        <w:spacing w:line="570" w:lineRule="atLeast"/>
        <w:ind w:firstLine="707" w:firstLineChars="221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9、配合其他科室开展各项工作，完成领导交办的其他工作。</w:t>
      </w:r>
    </w:p>
    <w:p>
      <w:pPr>
        <w:widowControl/>
        <w:numPr>
          <w:ilvl w:val="0"/>
          <w:numId w:val="1"/>
        </w:numPr>
        <w:spacing w:line="570" w:lineRule="atLeast"/>
        <w:ind w:firstLine="630" w:firstLineChars="196"/>
        <w:jc w:val="left"/>
        <w:rPr>
          <w:rFonts w:eastAsia="楷体_GB2312"/>
          <w:b/>
          <w:sz w:val="32"/>
          <w:szCs w:val="32"/>
        </w:rPr>
      </w:pPr>
      <w:r>
        <w:rPr>
          <w:rFonts w:eastAsia="楷体_GB2312"/>
          <w:b/>
          <w:sz w:val="32"/>
          <w:szCs w:val="32"/>
        </w:rPr>
        <w:t>机构设置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eastAsia="仿宋_GB2312"/>
          <w:sz w:val="32"/>
          <w:szCs w:val="32"/>
        </w:rPr>
        <w:t>岳阳市君山区职业技术学校为君山区教育局所属公益一类事业单位，经费形式为财政拨款和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经营收入、事业收入</w:t>
      </w:r>
      <w:r>
        <w:rPr>
          <w:rFonts w:hint="eastAsia" w:ascii="仿宋_GB2312" w:eastAsia="仿宋_GB2312"/>
          <w:sz w:val="32"/>
          <w:szCs w:val="32"/>
        </w:rPr>
        <w:t>。学校核定编制数3名，其中全额编制3名，差额编制0名，自收自支0名。该单位部门预算实有人员71人，其中在职人员71人，离休人员0人，退休人员0人，其他人员0人。现有教学班27个，学生1172人。</w:t>
      </w:r>
      <w:r>
        <w:rPr>
          <w:rFonts w:hint="eastAsia" w:ascii="Times New Roman" w:hAnsi="Times New Roman" w:eastAsia="仿宋_GB2312" w:cs="仿宋_GB2312"/>
          <w:bCs/>
          <w:kern w:val="0"/>
          <w:sz w:val="32"/>
          <w:szCs w:val="32"/>
        </w:rPr>
        <w:t>岳阳市君山区职业技术学校内设机构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包括：1.党支部办公室（下设青年团支部），2.学生科，3.教务科，4.办公室，5.财务室，6.后勤科，7.安全科。</w:t>
      </w:r>
    </w:p>
    <w:p>
      <w:pPr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 w:val="0"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 w:val="0"/>
          <w:kern w:val="0"/>
          <w:sz w:val="32"/>
          <w:szCs w:val="32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岳阳市君山区职业技术学校部门只有本级，没有其他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二级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预算单位，纳入2024年部门预算编制范围的只有君山区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君山区职业技术学校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本级。</w:t>
      </w:r>
    </w:p>
    <w:p>
      <w:pPr>
        <w:spacing w:line="570" w:lineRule="atLeast"/>
        <w:ind w:firstLine="643" w:firstLineChars="200"/>
        <w:rPr>
          <w:rFonts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三、部门收支总体情况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部门预算公开表15、16、17、18、19表均为空。</w:t>
      </w:r>
    </w:p>
    <w:p>
      <w:pPr>
        <w:numPr>
          <w:ilvl w:val="0"/>
          <w:numId w:val="2"/>
        </w:num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包括一般公共预算、政府性基金、国有资本经营预算等财政拨款收入，以及经营收入、事业收入等单位资金。2024年本单位收入预算191.9万元，其中，一般公共预算拨款191.9万元，政府性基金预算资金0.00万元(所以部门预算公开表15-17表为空)，国有资本经营预算资金0.00万元(所以部门预算公开表18表为空)，财政专户管理资金0.00万元(所以部门预算公开表19表为空)，上级补助收入资金0.00万元，事业单位经营收入资金0.00万元，上年结转结余0.00万元。本单位为新增单位，无上年数据。</w:t>
      </w:r>
    </w:p>
    <w:p>
      <w:pPr>
        <w:pStyle w:val="2"/>
        <w:spacing w:line="570" w:lineRule="atLeast"/>
        <w:ind w:firstLine="0"/>
      </w:pPr>
      <w:r>
        <w:drawing>
          <wp:inline distT="0" distB="0" distL="114300" distR="114300">
            <wp:extent cx="5267325" cy="2600325"/>
            <wp:effectExtent l="0" t="0" r="9525" b="9525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pStyle w:val="2"/>
        <w:spacing w:line="570" w:lineRule="atLeast"/>
        <w:ind w:firstLine="0"/>
      </w:pPr>
    </w:p>
    <w:p>
      <w:pPr>
        <w:numPr>
          <w:ilvl w:val="0"/>
          <w:numId w:val="2"/>
        </w:num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2024年本单位支出预算191.9万元，其中：教育支出184.57万元，社会保障和就业支出3.4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万元，卫生健康支出1.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40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万元，住房保障支出2.51万元。本单位为新增预算单位，无上年数据。</w:t>
      </w:r>
    </w:p>
    <w:p>
      <w:pPr>
        <w:pStyle w:val="2"/>
        <w:spacing w:line="570" w:lineRule="atLeast"/>
        <w:ind w:firstLine="0"/>
      </w:pPr>
      <w:r>
        <w:drawing>
          <wp:inline distT="0" distB="0" distL="114300" distR="114300">
            <wp:extent cx="5257800" cy="3456940"/>
            <wp:effectExtent l="5080" t="4445" r="13970" b="5715"/>
            <wp:docPr id="2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>
      <w:pPr>
        <w:spacing w:line="570" w:lineRule="atLeast"/>
        <w:ind w:firstLine="643" w:firstLineChars="200"/>
        <w:rPr>
          <w:rFonts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2024年本单位一般公共预算拨款支出191.9万元，其中：教育支出184.57万元，占96.1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%；社会保障和就业支出3.42万元，占1.78%；卫生健康支出1.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40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万元，占0.7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%；住房保障支出2.51万元，占1.31%，具体安排情况如下：</w:t>
      </w:r>
    </w:p>
    <w:p>
      <w:pPr>
        <w:widowControl/>
        <w:numPr>
          <w:ilvl w:val="0"/>
          <w:numId w:val="3"/>
        </w:numPr>
        <w:spacing w:line="570" w:lineRule="atLeast"/>
        <w:ind w:firstLine="643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基本支出：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2024年本单位基本支出预算数30.24万元，主要是为保障单位正常运转、完成日常工作任务而发生的各项支出，包括用于基本工资、津贴补贴等人员经费以及办公费、印刷费、水电费、办公设备购置等公用经费。</w:t>
      </w:r>
    </w:p>
    <w:p>
      <w:pPr>
        <w:numPr>
          <w:ilvl w:val="0"/>
          <w:numId w:val="3"/>
        </w:num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项目支出：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2024年本单位项目支出预算161.66万元，主要是本单位为完成特定工作任务或事业发展目标而发生的支出，包括专项业务费、基本建设支出等，其中：教育支出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161.66万元，主要内容为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教育费附加工作经费4.8万元，主要用于高中军训。专项经费25.42万元，职业教育及民办教育及教师体检专项，确保各项工作顺利开展，全面完成各项任务。教育专项资金经费131.2万元，主要用于班主任教师工资，课堂教学改革，心理健康建设等，确保职业教育正常运转。业务工作经费0.24万元为法治副校长经费，目的为确保法治工作顺利进行，提升学生法律意识。</w:t>
      </w:r>
    </w:p>
    <w:p>
      <w:pPr>
        <w:spacing w:line="570" w:lineRule="atLeast"/>
        <w:ind w:left="420" w:leftChars="200"/>
        <w:rPr>
          <w:rFonts w:asciiTheme="minorEastAsia" w:hAnsi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spacing w:line="570" w:lineRule="atLeast"/>
        <w:ind w:firstLine="640" w:firstLineChars="200"/>
        <w:rPr>
          <w:rFonts w:asciiTheme="minorEastAsia" w:hAnsiTheme="minorEastAsia" w:cstheme="minorEastAsia"/>
          <w:color w:val="333333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2024年度本单位无政府性基金安排的支出，所以公开的附件15-17（政府性基金预算）为空。</w:t>
      </w:r>
    </w:p>
    <w:p>
      <w:pPr>
        <w:spacing w:line="570" w:lineRule="atLeast"/>
        <w:ind w:firstLine="643" w:firstLineChars="200"/>
        <w:rPr>
          <w:rFonts w:asciiTheme="minorEastAsia" w:hAnsi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2024年岳阳市君山区职业技术学校机关运行经费0万元，主要原因为本单位属公益一类事业单位，无机关运行经费预算。</w:t>
      </w:r>
    </w:p>
    <w:p>
      <w:pPr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单位“三公”经费预算数为0万元，其中，公务接待费0万元，公务用车购置及运行费0万元（其中，公务用车购置费0万元，公务用车运行费0万元），因公出国（境）费0万元。2024年“三公”经费预算较2023年持平，主要原因是主要是严格落实中央“八项规定”精神和“过紧日子”的要求，从严控制“三公”经费支出。</w:t>
      </w:r>
      <w:bookmarkStart w:id="0" w:name="START_IS_ZERO_06_2"/>
      <w:bookmarkEnd w:id="0"/>
      <w:bookmarkStart w:id="1" w:name="END_IS_ZERO_06_1"/>
      <w:bookmarkEnd w:id="1"/>
      <w:bookmarkStart w:id="2" w:name="DIS_MARK_IS_ZERO_06_2"/>
      <w:bookmarkEnd w:id="2"/>
      <w:bookmarkStart w:id="3" w:name="END_IS_ZERO_06_2"/>
      <w:bookmarkEnd w:id="3"/>
    </w:p>
    <w:p>
      <w:pPr>
        <w:pStyle w:val="6"/>
        <w:widowControl/>
        <w:spacing w:beforeAutospacing="0" w:afterAutospacing="0" w:line="570" w:lineRule="atLeast"/>
        <w:ind w:firstLine="643" w:firstLineChars="200"/>
        <w:jc w:val="both"/>
        <w:textAlignment w:val="center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2024年本部门会议费预算0万元，拟召开0次会议，人数0人；培训费预算0万元，拟开展0次培训，人数0人；2024年度本部门未计划举办节庆、晚会、论坛、赛事活动。</w:t>
      </w: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2024年本单位政府采购预算总额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226.50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万元，其中，货物类采购预算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94.50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万元；工程类采购预算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132.00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万元；服务类采购预算0万元。</w:t>
      </w: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截至2023年12月底，本单位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拟新增配置公务用车0辆，其中，机要通信用车0辆，应急保障用车0辆，执法执勤用车0辆，特种专业技术用车0辆，其他按照规定配备的公务用车0辆；新增配备单位价值50万元以上设备0台，其中，单位价值100万元以上设备0台。</w:t>
      </w: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本单位所有支出实行绩效目标管理。纳入2024年单位整体支出绩效目标的金额为191.9万元，其中，基本支出30.24万元，项目支出161.66万元，具体绩效目标详见文尾附表中部门预算公开表21-22表。</w:t>
      </w:r>
    </w:p>
    <w:p>
      <w:pPr>
        <w:spacing w:line="570" w:lineRule="atLeast"/>
        <w:ind w:firstLine="643" w:firstLineChars="200"/>
        <w:rPr>
          <w:rFonts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pStyle w:val="6"/>
        <w:widowControl/>
        <w:spacing w:beforeAutospacing="0" w:afterAutospacing="0" w:line="570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</w:p>
    <w:p>
      <w:pPr>
        <w:pStyle w:val="6"/>
        <w:widowControl/>
        <w:spacing w:beforeAutospacing="0" w:afterAutospacing="0" w:line="570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</w:p>
    <w:p>
      <w:pPr>
        <w:pStyle w:val="6"/>
        <w:widowControl/>
        <w:spacing w:beforeAutospacing="0" w:afterAutospacing="0" w:line="570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</w:p>
    <w:p>
      <w:pPr>
        <w:pStyle w:val="6"/>
        <w:widowControl/>
        <w:spacing w:beforeAutospacing="0" w:afterAutospacing="0" w:line="570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</w:p>
    <w:p>
      <w:pPr>
        <w:pStyle w:val="6"/>
        <w:widowControl/>
        <w:spacing w:beforeAutospacing="0" w:afterAutospacing="0" w:line="570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</w:p>
    <w:p>
      <w:pPr>
        <w:pStyle w:val="6"/>
        <w:widowControl/>
        <w:spacing w:beforeAutospacing="0" w:afterAutospacing="0" w:line="570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</w:p>
    <w:p>
      <w:pPr>
        <w:pStyle w:val="6"/>
        <w:widowControl/>
        <w:spacing w:beforeAutospacing="0" w:afterAutospacing="0" w:line="570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</w:p>
    <w:p>
      <w:pPr>
        <w:pStyle w:val="6"/>
        <w:widowControl/>
        <w:spacing w:beforeAutospacing="0" w:afterAutospacing="0" w:line="570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  <w:bookmarkStart w:id="4" w:name="_GoBack"/>
      <w:bookmarkEnd w:id="4"/>
    </w:p>
    <w:p>
      <w:pPr>
        <w:pStyle w:val="6"/>
        <w:widowControl/>
        <w:spacing w:beforeAutospacing="0" w:afterAutospacing="0" w:line="570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</w:p>
    <w:p>
      <w:pPr>
        <w:pStyle w:val="6"/>
        <w:widowControl/>
        <w:spacing w:beforeAutospacing="0" w:afterAutospacing="0" w:line="570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</w:p>
    <w:p>
      <w:pPr>
        <w:pStyle w:val="6"/>
        <w:widowControl/>
        <w:spacing w:beforeAutospacing="0" w:afterAutospacing="0" w:line="570" w:lineRule="atLeast"/>
        <w:jc w:val="center"/>
        <w:textAlignment w:val="center"/>
        <w:rPr>
          <w:rFonts w:ascii="黑体" w:hAnsi="黑体" w:eastAsia="黑体" w:cs="黑体"/>
          <w:b/>
          <w:bCs/>
          <w:sz w:val="36"/>
          <w:szCs w:val="36"/>
        </w:rPr>
      </w:pPr>
      <w:r>
        <w:rPr>
          <w:rFonts w:hint="eastAsia" w:ascii="黑体" w:hAnsi="黑体" w:eastAsia="黑体" w:cs="黑体"/>
          <w:b/>
          <w:bCs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注：以上部门预算公开报表中，空表表示本单位无相关收支情况。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附件：岳阳市君山区职业技术学校2024年部门预算公开表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026482056"/>
    </w:sdtPr>
    <w:sdtContent>
      <w:p>
        <w:pPr>
          <w:pStyle w:val="4"/>
          <w:jc w:val="right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8</w:t>
        </w:r>
        <w:r>
          <w:fldChar w:fldCharType="end"/>
        </w:r>
      </w:p>
    </w:sdtContent>
  </w:sdt>
  <w:p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DF1542D"/>
    <w:multiLevelType w:val="singleLevel"/>
    <w:tmpl w:val="ADF1542D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436FD01C"/>
    <w:multiLevelType w:val="singleLevel"/>
    <w:tmpl w:val="436FD01C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57CC3CBB"/>
    <w:multiLevelType w:val="singleLevel"/>
    <w:tmpl w:val="57CC3CBB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MzkxYTllNGUzYWMwZmMyNjFiNTViYzNiYzdlYTAifQ=="/>
  </w:docVars>
  <w:rsids>
    <w:rsidRoot w:val="637274E6"/>
    <w:rsid w:val="000074DC"/>
    <w:rsid w:val="000A0347"/>
    <w:rsid w:val="000E705E"/>
    <w:rsid w:val="001E319C"/>
    <w:rsid w:val="00235887"/>
    <w:rsid w:val="002D75EF"/>
    <w:rsid w:val="002F7D53"/>
    <w:rsid w:val="00333A09"/>
    <w:rsid w:val="003868E3"/>
    <w:rsid w:val="003F161E"/>
    <w:rsid w:val="00453A1B"/>
    <w:rsid w:val="00545AD3"/>
    <w:rsid w:val="005B64E9"/>
    <w:rsid w:val="005B70A1"/>
    <w:rsid w:val="006234EF"/>
    <w:rsid w:val="00647A60"/>
    <w:rsid w:val="00663A83"/>
    <w:rsid w:val="00673500"/>
    <w:rsid w:val="006B4124"/>
    <w:rsid w:val="007A40E0"/>
    <w:rsid w:val="007E65A7"/>
    <w:rsid w:val="00814531"/>
    <w:rsid w:val="00884D66"/>
    <w:rsid w:val="008B13DA"/>
    <w:rsid w:val="009358F1"/>
    <w:rsid w:val="009B56B8"/>
    <w:rsid w:val="00A66B31"/>
    <w:rsid w:val="00B12779"/>
    <w:rsid w:val="00B276D3"/>
    <w:rsid w:val="00B76692"/>
    <w:rsid w:val="00B87C10"/>
    <w:rsid w:val="00BD0B90"/>
    <w:rsid w:val="00DF5ADF"/>
    <w:rsid w:val="00E30FCD"/>
    <w:rsid w:val="00E41A2B"/>
    <w:rsid w:val="00E8216F"/>
    <w:rsid w:val="00E932FD"/>
    <w:rsid w:val="00F341D1"/>
    <w:rsid w:val="00FA441F"/>
    <w:rsid w:val="00FC5E64"/>
    <w:rsid w:val="00FD0909"/>
    <w:rsid w:val="01EC3E90"/>
    <w:rsid w:val="02140C7A"/>
    <w:rsid w:val="046523F8"/>
    <w:rsid w:val="0517681B"/>
    <w:rsid w:val="088363E7"/>
    <w:rsid w:val="0AD8381E"/>
    <w:rsid w:val="0B172D74"/>
    <w:rsid w:val="0B5218A1"/>
    <w:rsid w:val="0B653E82"/>
    <w:rsid w:val="0E042561"/>
    <w:rsid w:val="0F2A3A2C"/>
    <w:rsid w:val="10797237"/>
    <w:rsid w:val="136025C0"/>
    <w:rsid w:val="16042156"/>
    <w:rsid w:val="16247C45"/>
    <w:rsid w:val="167C1082"/>
    <w:rsid w:val="192632E6"/>
    <w:rsid w:val="1B6F1962"/>
    <w:rsid w:val="1C702A36"/>
    <w:rsid w:val="1C744CBF"/>
    <w:rsid w:val="1C914169"/>
    <w:rsid w:val="1E205404"/>
    <w:rsid w:val="1E426EBA"/>
    <w:rsid w:val="1F572E39"/>
    <w:rsid w:val="1F8154A2"/>
    <w:rsid w:val="20034AD4"/>
    <w:rsid w:val="22767EB0"/>
    <w:rsid w:val="22861ED8"/>
    <w:rsid w:val="27562CA6"/>
    <w:rsid w:val="286F1B1C"/>
    <w:rsid w:val="28D728F5"/>
    <w:rsid w:val="2A5727A7"/>
    <w:rsid w:val="2B3247EE"/>
    <w:rsid w:val="2DC518B5"/>
    <w:rsid w:val="2E9372BE"/>
    <w:rsid w:val="30F54535"/>
    <w:rsid w:val="328F1D91"/>
    <w:rsid w:val="36214EDF"/>
    <w:rsid w:val="395E7E49"/>
    <w:rsid w:val="398C704B"/>
    <w:rsid w:val="3A486D41"/>
    <w:rsid w:val="3CB10683"/>
    <w:rsid w:val="3CC84B62"/>
    <w:rsid w:val="3E4B1963"/>
    <w:rsid w:val="40731651"/>
    <w:rsid w:val="40BA4B7E"/>
    <w:rsid w:val="42E3660E"/>
    <w:rsid w:val="4601059C"/>
    <w:rsid w:val="4602087F"/>
    <w:rsid w:val="4748485A"/>
    <w:rsid w:val="498D2E6F"/>
    <w:rsid w:val="4AFC64BF"/>
    <w:rsid w:val="4BBE358A"/>
    <w:rsid w:val="4E514D65"/>
    <w:rsid w:val="4EE728E7"/>
    <w:rsid w:val="4F0307B2"/>
    <w:rsid w:val="4F302902"/>
    <w:rsid w:val="52077AEA"/>
    <w:rsid w:val="55C02EEA"/>
    <w:rsid w:val="55E76771"/>
    <w:rsid w:val="58AA6296"/>
    <w:rsid w:val="58AF2EC0"/>
    <w:rsid w:val="5A13112F"/>
    <w:rsid w:val="5BC30933"/>
    <w:rsid w:val="5DC12353"/>
    <w:rsid w:val="5E3E4DDC"/>
    <w:rsid w:val="60B42209"/>
    <w:rsid w:val="637274E6"/>
    <w:rsid w:val="63E65795"/>
    <w:rsid w:val="65B57FA7"/>
    <w:rsid w:val="675A13CF"/>
    <w:rsid w:val="682C3048"/>
    <w:rsid w:val="6B1B73BC"/>
    <w:rsid w:val="6F4B168B"/>
    <w:rsid w:val="70F118E0"/>
    <w:rsid w:val="71704C61"/>
    <w:rsid w:val="719F6C19"/>
    <w:rsid w:val="780C7976"/>
    <w:rsid w:val="784F5584"/>
    <w:rsid w:val="78CC0C1A"/>
    <w:rsid w:val="7AE949AB"/>
    <w:rsid w:val="7CB54812"/>
    <w:rsid w:val="7D266D66"/>
    <w:rsid w:val="7E7E5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Balloon Text"/>
    <w:basedOn w:val="1"/>
    <w:link w:val="10"/>
    <w:qFormat/>
    <w:uiPriority w:val="0"/>
    <w:rPr>
      <w:sz w:val="18"/>
      <w:szCs w:val="18"/>
    </w:rPr>
  </w:style>
  <w:style w:type="paragraph" w:styleId="4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character" w:customStyle="1" w:styleId="10">
    <w:name w:val="批注框文本 Char"/>
    <w:basedOn w:val="8"/>
    <w:link w:val="3"/>
    <w:qFormat/>
    <w:uiPriority w:val="0"/>
    <w:rPr>
      <w:kern w:val="2"/>
      <w:sz w:val="18"/>
      <w:szCs w:val="18"/>
    </w:rPr>
  </w:style>
  <w:style w:type="character" w:customStyle="1" w:styleId="11">
    <w:name w:val="页眉 Char"/>
    <w:basedOn w:val="8"/>
    <w:link w:val="5"/>
    <w:qFormat/>
    <w:uiPriority w:val="0"/>
    <w:rPr>
      <w:kern w:val="2"/>
      <w:sz w:val="18"/>
      <w:szCs w:val="18"/>
    </w:rPr>
  </w:style>
  <w:style w:type="character" w:customStyle="1" w:styleId="12">
    <w:name w:val="页脚 Char"/>
    <w:basedOn w:val="8"/>
    <w:link w:val="4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I:\&#35745;&#36130;&#32929;\2024\2024&#24180;&#37096;&#38376;&#39044;&#31639;&#20844;&#24320;\&#25945;&#32946;&#31995;&#32479;&#21508;&#21333;&#20301;2024&#24180;&#37096;&#38376;&#39044;&#31639;&#20844;&#24320;&#19978;&#25253;\&#21531;&#23665;&#32844;&#26657;2024&#24180;&#39044;&#31639;&#20844;&#24320;\127012&#21531;&#23665;&#21306;&#32844;&#19994;&#25216;&#26415;&#23398;&#26657;&#65288;2024&#24180;&#39044;&#31639;&#20844;&#24320;&#34920;&#65289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rPr lang="zh-CN" altLang="en-US"/>
              <a:t>收入预算图</a:t>
            </a:r>
            <a:endParaRPr lang="zh-CN" altLang="en-US"/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dLbl>
              <c:idx val="0"/>
              <c:layout>
                <c:manualLayout>
                  <c:x val="0.0275941530700475"/>
                  <c:y val="-0.405085114360705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400" b="1" i="0" u="none" strike="noStrike" kern="1200" baseline="0">
                <a:solidFill>
                  <a:schemeClr val="tx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支出预算表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tx>
            <c:strRef>
              <c:f>'[127012君山区职业技术学校（2024年预算公开表）.xlsx]Sheet1'!$D$21</c:f>
              <c:strCache>
                <c:ptCount val="1"/>
                <c:pt idx="0">
                  <c:v>总和("列2")</c:v>
                </c:pt>
              </c:strCache>
            </c:strRef>
          </c:tx>
          <c:spPr/>
          <c:explosion val="0"/>
          <c:dPt>
            <c:idx val="0"/>
            <c:bubble3D val="0"/>
            <c:spPr>
              <a:solidFill>
                <a:schemeClr val="accent1"/>
              </a:solidFill>
              <a:ln>
                <a:solidFill>
                  <a:schemeClr val="bg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>
                <a:solidFill>
                  <a:schemeClr val="bg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>
                <a:solidFill>
                  <a:schemeClr val="bg1"/>
                </a:solidFill>
              </a:ln>
              <a:effectLst/>
            </c:spPr>
          </c:dPt>
          <c:dPt>
            <c:idx val="3"/>
            <c:bubble3D val="0"/>
            <c:spPr>
              <a:solidFill>
                <a:schemeClr val="accent4"/>
              </a:solidFill>
              <a:ln>
                <a:solidFill>
                  <a:schemeClr val="bg1"/>
                </a:solidFill>
              </a:ln>
              <a:effectLst/>
            </c:spPr>
          </c:dPt>
          <c:dLbls>
            <c:dLbl>
              <c:idx val="0"/>
              <c:layout/>
              <c:tx>
                <c:rich>
                  <a:bodyPr rot="0" spcFirstLastPara="0" vertOverflow="ellipsis" vert="horz" wrap="square" lIns="38100" tIns="19050" rIns="38100" bIns="19050" anchor="ctr" anchorCtr="1"/>
                  <a:lstStyle/>
                  <a:p>
                    <a:pPr defTabSz="914400">
                      <a:defRPr lang="zh-CN" sz="1000" b="0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t>教育支出 96.19%</a:t>
                    </a:r>
                  </a:p>
                </c:rich>
              </c:tx>
              <c:dLblPos val="inEnd"/>
              <c:showLegendKey val="1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0.199441129737916"/>
                  <c:y val="0.130303673978143"/>
                </c:manualLayout>
              </c:layout>
              <c:tx>
                <c:rich>
                  <a:bodyPr rot="0" spcFirstLastPara="0" vertOverflow="ellipsis" vert="horz" wrap="square" lIns="38100" tIns="19050" rIns="38100" bIns="19050" anchor="ctr" anchorCtr="1"/>
                  <a:lstStyle/>
                  <a:p>
                    <a:pPr defTabSz="914400">
                      <a:defRPr lang="zh-CN" sz="1000" b="0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t>社会保障和就业支出 1.78%</a:t>
                    </a:r>
                  </a:p>
                </c:rich>
              </c:tx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0.307929554279731"/>
                  <c:y val="0.204398266257356"/>
                </c:manualLayout>
              </c:layout>
              <c:tx>
                <c:rich>
                  <a:bodyPr rot="0" spcFirstLastPara="0" vertOverflow="ellipsis" vert="horz" wrap="square" lIns="38100" tIns="19050" rIns="38100" bIns="19050" anchor="ctr" anchorCtr="1"/>
                  <a:lstStyle/>
                  <a:p>
                    <a:pPr defTabSz="914400">
                      <a:defRPr lang="zh-CN" sz="1000" b="0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t>住房保障支出 1.31%</a:t>
                    </a:r>
                  </a:p>
                </c:rich>
              </c:tx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.18968015227826"/>
                  <c:y val="0.0692851200523419"/>
                </c:manualLayout>
              </c:layout>
              <c:tx>
                <c:rich>
                  <a:bodyPr rot="0" spcFirstLastPara="0" vertOverflow="ellipsis" vert="horz" wrap="square" lIns="38100" tIns="19050" rIns="38100" bIns="19050" anchor="ctr" anchorCtr="1"/>
                  <a:lstStyle/>
                  <a:p>
                    <a:pPr defTabSz="914400">
                      <a:defRPr lang="zh-CN" sz="1000" b="0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t>卫生健康支出 0.72%</a:t>
                    </a:r>
                  </a:p>
                </c:rich>
              </c:tx>
              <c:dLblPos val="bestFit"/>
              <c:showLegendKey val="1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1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'[127012君山区职业技术学校（2024年预算公开表）.xlsx]Sheet1'!$E$20:$H$20</c:f>
              <c:strCache>
                <c:ptCount val="4"/>
                <c:pt idx="0">
                  <c:v>教育支出</c:v>
                </c:pt>
                <c:pt idx="1">
                  <c:v>社会保障和就业支出</c:v>
                </c:pt>
                <c:pt idx="2">
                  <c:v>住房保障支出</c:v>
                </c:pt>
                <c:pt idx="3">
                  <c:v>卫生健康支出</c:v>
                </c:pt>
              </c:strCache>
            </c:strRef>
          </c:cat>
          <c:val>
            <c:numRef>
              <c:f>'[127012君山区职业技术学校（2024年预算公开表）.xlsx]Sheet1'!$E$21:$H$21</c:f>
              <c:numCache>
                <c:formatCode>General</c:formatCode>
                <c:ptCount val="4"/>
                <c:pt idx="0">
                  <c:v>184.57</c:v>
                </c:pt>
                <c:pt idx="1">
                  <c:v>3.42</c:v>
                </c:pt>
                <c:pt idx="2">
                  <c:v>2.51</c:v>
                </c:pt>
                <c:pt idx="3">
                  <c:v>1.39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83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1">
      <cs:styleClr val="auto"/>
    </cs:fillRef>
    <cs:effectRef idx="0"/>
    <cs:fontRef idx="minor">
      <a:schemeClr val="dk1"/>
    </cs:fontRef>
    <cs:spPr>
      <a:ln>
        <a:solidFill>
          <a:schemeClr val="bg1"/>
        </a:solidFill>
      </a:ln>
      <a:effectLst/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12</Pages>
  <Words>3682</Words>
  <Characters>3952</Characters>
  <Lines>3</Lines>
  <Paragraphs>8</Paragraphs>
  <TotalTime>8</TotalTime>
  <ScaleCrop>false</ScaleCrop>
  <LinksUpToDate>false</LinksUpToDate>
  <CharactersWithSpaces>3958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dcterms:modified xsi:type="dcterms:W3CDTF">2024-06-23T03:48:47Z</dcterms:modified>
  <cp:revision>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F096656A06374B649974E8EAA5D2873F_13</vt:lpwstr>
  </property>
</Properties>
</file>