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岳阳市君山区采桑湖镇中学</w:t>
      </w:r>
    </w:p>
    <w:p>
      <w:pPr>
        <w:spacing w:line="570" w:lineRule="atLeast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2024年部门预算公开</w:t>
      </w:r>
    </w:p>
    <w:p/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ind w:firstLine="643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一、部门基本概况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1、认真贯彻执行国家有关财经法规和学校财务制度。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2、负责组织编制学校部门预算，并上报上级主管部门；组织编制学校预算，并对预算执行、调整等进行日常管理工作。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3、负责做好年终决算及会计报表的编制、审核，编写年度部门决算分析评价报告及上报工作。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4、负责配合领导争取国家财政拨款，多渠道筹集资金，建立和巩固良好的对外合作关系。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5、负责协调教育、财政、审计、税务等上级部门和学校纪监审等部门的专项检查工作。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6、负责学校教育工会会计核算、报表编制等财务管理工作。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7、负责学校会计人员的管理、继续教育培训等工作。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8、配合其他处室开展各项工作。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9、配合其他科室开展各项工作，完成领导交办的其他工作。机构设置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岳阳市君山区采桑湖镇中学为君山区教育局所属公益一类事业单位，经费形式为财政全额拨款。学校核定编制数60名，其中全额编制60名，差额编制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名，自收自支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名。该单位部门预算实有人员133人，其中在职人员60人，离休人员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人，退休人员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3人，其他人员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人。现有教学班17个，学生549人。岳阳市君山区采桑湖镇中学设置了采桑湖镇中学、金牛小学2个内设机构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二、部门预算单位构成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岳阳市君山区采桑湖镇中学部门只有本级，没有其他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预算单位，纳入2024年部门预算编制范围的只有君山区采桑湖镇中学本级。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三、部门收支总体情况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部门预算公开表15、16、17、18、19表均为空。</w:t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包括一般公共预算、政府性基金、国有资本经营预算等财政拨款收入，以及经营收入、事业收入等单位资金。2024年本单位收入预算1063.62万元，其中，一般公共预算拨款1063.62万元，政府性基金预算资金0.00万元(所以部门预算公开表15-17表为空)，国有资本经营预算资金0.00万元(所以部门预算公开表18表为空)，财政专户管理资金0.00万元(所以部门预算公开表19表为空)，上级补助收入资金0.00万元，事业单位经营收入资金0.00万元，上年结转结余0.00万元。收入较上年减少69.01万元，下降6.09%。主要原因是教师人数减少，从而导致收入减少。</w:t>
      </w:r>
    </w:p>
    <w:p>
      <w:pPr>
        <w:pStyle w:val="2"/>
        <w:ind w:firstLine="0"/>
      </w:pPr>
      <w:r>
        <w:drawing>
          <wp:inline distT="0" distB="0" distL="114300" distR="114300">
            <wp:extent cx="4886325" cy="2368550"/>
            <wp:effectExtent l="0" t="0" r="95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2024年本单位支出预算1063.62万元，其中：教育支出721.42万元，社会保障和就业支出229.12万元，卫生健康支出44.79万元，住</w:t>
      </w:r>
      <w:bookmarkStart w:id="0" w:name="_Hlk16796161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房保障支出68.29万元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。支出较上年减少69.01万元，下降6.09%。主要原因是教师人数减少，从而导致预算支出减少。</w:t>
      </w:r>
    </w:p>
    <w:p>
      <w:pPr>
        <w:pStyle w:val="2"/>
        <w:ind w:left="0" w:leftChars="0" w:firstLine="0" w:firstLineChars="0"/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596765" cy="3001010"/>
            <wp:effectExtent l="4445" t="4445" r="8890" b="23495"/>
            <wp:docPr id="2" name="图表 1" descr="7b0a202020202263686172745265734964223a202232303437353539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2"/>
        <w:ind w:firstLine="0"/>
      </w:pP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四、一般公共预算拨款支出</w:t>
      </w:r>
    </w:p>
    <w:p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2024年本单位一般公共预算拨款支出1063.62万元，其中：教育支出721.42万元，占67.83%；社会保障和就业支出229.12万元，占21.54%；卫生健康支出44.79万元，占4.21%；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房保障支出68.29万元，占6.42%。具体安排情况如下：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2024年本单位基本支出预算数959.91万元，主要是为保障单位正常运转、完成日常工作任务而发生的各项支出，包括用于基本工资、津贴补贴等人员经费以及办公费、印刷费、水电费、办公设备购置等公用经费。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项目支出预算104.11万元，主要是本单位为完成特定工作任务或事业发展目标而发生的支出，包括有关事业发展专项、专项业务费、基本建设支出等，其中：教育支出104.11万元，主要用于学校大型维修及提质改造等方面。</w:t>
      </w: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五、政府性基金预算支出</w:t>
      </w:r>
    </w:p>
    <w:p>
      <w:pPr>
        <w:ind w:firstLine="640" w:firstLineChars="200"/>
        <w:rPr>
          <w:rFonts w:asciiTheme="minorEastAsia" w:hAnsi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2024年度本单位无政府性基金安排的支出，所以公开的附件15-17（政府性基金预算）为空。</w:t>
      </w:r>
    </w:p>
    <w:p>
      <w:pPr>
        <w:ind w:firstLine="643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六、其他重要事项的情况说明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2024年岳阳市君山区采桑湖镇中学机关运行经费0万元，与上年预算相等，主要原因为本单位属公益一类事业单位，无机关运行经费预算。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“三公”经费预算数为0万元，其中，公务接待费0万元，公务用车购置及运行费0万元（其中，公务用车购置费0万元，公务用车运行费0万元），因公出国（境）费0万元。2024年“三公”经费预算较2023年持平，主要原因是主要是严格落实中央“八项规定”精神和“过紧日子”的要求，从严控制“三公”经费支出。</w:t>
      </w:r>
      <w:bookmarkStart w:id="1" w:name="END_IS_ZERO_06_2"/>
      <w:bookmarkEnd w:id="1"/>
      <w:bookmarkStart w:id="2" w:name="DIS_MARK_IS_ZERO_06_2"/>
      <w:bookmarkEnd w:id="2"/>
      <w:bookmarkStart w:id="3" w:name="END_IS_ZERO_06_1"/>
      <w:bookmarkEnd w:id="3"/>
      <w:bookmarkStart w:id="4" w:name="START_IS_ZERO_06_2"/>
      <w:bookmarkEnd w:id="4"/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2024年本单位会议费预算0万元0，拟召开0次会议，人数0人；培训费预算0万元，拟开展0次培训，人数0人；2024年度本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shd w:val="clear" w:color="auto" w:fill="FFFFFF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未计划举办节庆、晚会、论坛、赛事活动。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2024年本单位政府采购预算总额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拟新增配置公务用车0辆，其中，机要通信用车0辆，应急保障用车0辆，执法执勤用车0辆，特种专业技术用车0辆，其他按照规定配备的公务用车0辆；新增配备单位价值50万元以上设备0台，其中，单位价值100万元以上设备0台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本单位所有支出实行绩效目标管理。纳入2024年单位整体支出绩效目标的金额为1063.62万元，其中，基本支出959.51万元，项目支出104.11万元，具体绩效目标详见文尾附表中部门预算公开表21-22表。</w:t>
      </w:r>
    </w:p>
    <w:p>
      <w:pPr>
        <w:ind w:firstLine="643" w:firstLineChars="200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七、名词解释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hint="eastAsia" w:ascii="方正小标宋简体" w:hAnsi="Times New Roman" w:eastAsia="方正小标宋简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 w:line="22" w:lineRule="atLeast"/>
        <w:jc w:val="center"/>
        <w:textAlignment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  <w:bookmarkStart w:id="5" w:name="_GoBack"/>
      <w:bookmarkEnd w:id="5"/>
      <w:r>
        <w:rPr>
          <w:rFonts w:hint="eastAsia" w:ascii="方正小标宋简体" w:hAnsi="Times New Roman" w:eastAsia="方正小标宋简体"/>
          <w:b/>
          <w:bCs/>
          <w:sz w:val="36"/>
          <w:szCs w:val="36"/>
        </w:rPr>
        <w:t>第二部分  2024年部门预算公开表格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注：以上部门预算公开报表中，空表表示本单位无相关收支情况。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附件：岳阳市君山区采桑湖镇中学2024年部门预算公开表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C3CBB"/>
    <w:multiLevelType w:val="singleLevel"/>
    <w:tmpl w:val="57CC3C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</w:docVars>
  <w:rsids>
    <w:rsidRoot w:val="637274E6"/>
    <w:rsid w:val="00186C51"/>
    <w:rsid w:val="001D1503"/>
    <w:rsid w:val="001E3BE8"/>
    <w:rsid w:val="00254021"/>
    <w:rsid w:val="003469EA"/>
    <w:rsid w:val="004F7AA1"/>
    <w:rsid w:val="00502A6B"/>
    <w:rsid w:val="00525D7C"/>
    <w:rsid w:val="00551B0F"/>
    <w:rsid w:val="00564FAB"/>
    <w:rsid w:val="00576858"/>
    <w:rsid w:val="00580A82"/>
    <w:rsid w:val="005B776D"/>
    <w:rsid w:val="005C1B65"/>
    <w:rsid w:val="005C78B2"/>
    <w:rsid w:val="0065234B"/>
    <w:rsid w:val="00675A27"/>
    <w:rsid w:val="006F23CE"/>
    <w:rsid w:val="00746475"/>
    <w:rsid w:val="0077428D"/>
    <w:rsid w:val="0092078E"/>
    <w:rsid w:val="00A00C04"/>
    <w:rsid w:val="00A02F35"/>
    <w:rsid w:val="00AD4BA6"/>
    <w:rsid w:val="00B31FF7"/>
    <w:rsid w:val="00B95F16"/>
    <w:rsid w:val="00BE2EF3"/>
    <w:rsid w:val="00C210D2"/>
    <w:rsid w:val="00D126D8"/>
    <w:rsid w:val="00D405AD"/>
    <w:rsid w:val="00D47C69"/>
    <w:rsid w:val="00DE4F5F"/>
    <w:rsid w:val="00E0214E"/>
    <w:rsid w:val="00E90BC3"/>
    <w:rsid w:val="01EC3E90"/>
    <w:rsid w:val="02140C7A"/>
    <w:rsid w:val="046523F8"/>
    <w:rsid w:val="088363E7"/>
    <w:rsid w:val="0AD8381E"/>
    <w:rsid w:val="0B172D74"/>
    <w:rsid w:val="0B5218A1"/>
    <w:rsid w:val="0B653E82"/>
    <w:rsid w:val="0E042561"/>
    <w:rsid w:val="0F2A3A2C"/>
    <w:rsid w:val="10797237"/>
    <w:rsid w:val="16042156"/>
    <w:rsid w:val="16247C45"/>
    <w:rsid w:val="167C1082"/>
    <w:rsid w:val="192632E6"/>
    <w:rsid w:val="1B6F1962"/>
    <w:rsid w:val="1C744CBF"/>
    <w:rsid w:val="1C914169"/>
    <w:rsid w:val="1F572E39"/>
    <w:rsid w:val="1F8154A2"/>
    <w:rsid w:val="20034AD4"/>
    <w:rsid w:val="22767EB0"/>
    <w:rsid w:val="22861ED8"/>
    <w:rsid w:val="26264183"/>
    <w:rsid w:val="27562CA6"/>
    <w:rsid w:val="286F1B1C"/>
    <w:rsid w:val="28D728F5"/>
    <w:rsid w:val="29CC75BA"/>
    <w:rsid w:val="2A5727A7"/>
    <w:rsid w:val="2B3247EE"/>
    <w:rsid w:val="2DC518B5"/>
    <w:rsid w:val="2E9372BE"/>
    <w:rsid w:val="2E9C7B77"/>
    <w:rsid w:val="30F54535"/>
    <w:rsid w:val="328F1D91"/>
    <w:rsid w:val="36214EDF"/>
    <w:rsid w:val="395E7E49"/>
    <w:rsid w:val="398C704B"/>
    <w:rsid w:val="3A486D41"/>
    <w:rsid w:val="3CB10683"/>
    <w:rsid w:val="3E4B1963"/>
    <w:rsid w:val="40731651"/>
    <w:rsid w:val="40BA4B7E"/>
    <w:rsid w:val="42E3660E"/>
    <w:rsid w:val="4601059C"/>
    <w:rsid w:val="4602087F"/>
    <w:rsid w:val="4748485A"/>
    <w:rsid w:val="4AFC64BF"/>
    <w:rsid w:val="4BBE358A"/>
    <w:rsid w:val="4E514D65"/>
    <w:rsid w:val="4EE728E7"/>
    <w:rsid w:val="4F0307B2"/>
    <w:rsid w:val="4F302902"/>
    <w:rsid w:val="52077AEA"/>
    <w:rsid w:val="52CD52A1"/>
    <w:rsid w:val="53ED2832"/>
    <w:rsid w:val="55E76771"/>
    <w:rsid w:val="561B6A96"/>
    <w:rsid w:val="58AA6296"/>
    <w:rsid w:val="58AF2EC0"/>
    <w:rsid w:val="5A13112F"/>
    <w:rsid w:val="5BC30933"/>
    <w:rsid w:val="5DA14CA4"/>
    <w:rsid w:val="5DC12353"/>
    <w:rsid w:val="60B42209"/>
    <w:rsid w:val="637274E6"/>
    <w:rsid w:val="63E65795"/>
    <w:rsid w:val="65B57FA7"/>
    <w:rsid w:val="675A13CF"/>
    <w:rsid w:val="682C3048"/>
    <w:rsid w:val="6B1B73BC"/>
    <w:rsid w:val="6EC64313"/>
    <w:rsid w:val="6F4B168B"/>
    <w:rsid w:val="70F118E0"/>
    <w:rsid w:val="71704C61"/>
    <w:rsid w:val="719F6C19"/>
    <w:rsid w:val="78CC0C1A"/>
    <w:rsid w:val="7AE949AB"/>
    <w:rsid w:val="7D266D66"/>
    <w:rsid w:val="7E7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5910;&#20837;&#39044;&#31639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收入预算图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15753557121149"/>
          <c:y val="0.375044435040203"/>
          <c:w val="0.826511949164249"/>
          <c:h val="0.61279729157850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100000">
                    <a:schemeClr val="accent1"/>
                  </a:gs>
                  <a:gs pos="0">
                    <a:schemeClr val="accent1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1">
                        <a:lumMod val="75000"/>
                      </a:schemeClr>
                    </a:gs>
                    <a:gs pos="0">
                      <a:schemeClr val="accent1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/>
                  </a:gs>
                  <a:gs pos="0">
                    <a:schemeClr val="accent2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2">
                        <a:lumMod val="75000"/>
                      </a:schemeClr>
                    </a:gs>
                    <a:gs pos="0">
                      <a:schemeClr val="accent2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/>
                  </a:gs>
                  <a:gs pos="0">
                    <a:schemeClr val="accent3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3">
                        <a:lumMod val="75000"/>
                      </a:schemeClr>
                    </a:gs>
                    <a:gs pos="0">
                      <a:schemeClr val="accent3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/>
                  </a:gs>
                  <a:gs pos="0">
                    <a:schemeClr val="accent4">
                      <a:hueOff val="-1670000"/>
                    </a:schemeClr>
                  </a:gs>
                </a:gsLst>
                <a:lin ang="5400000" scaled="0"/>
              </a:gradFill>
              <a:ln>
                <a:gradFill>
                  <a:gsLst>
                    <a:gs pos="100000">
                      <a:schemeClr val="accent4">
                        <a:lumMod val="75000"/>
                      </a:schemeClr>
                    </a:gs>
                    <a:gs pos="0">
                      <a:schemeClr val="accent4">
                        <a:lumMod val="75000"/>
                        <a:hueOff val="-1670000"/>
                      </a:schemeClr>
                    </a:gs>
                  </a:gsLst>
                  <a:lin ang="4620000" scaled="0"/>
                </a:gradFill>
              </a:ln>
              <a:effectLst/>
            </c:spPr>
          </c:dPt>
          <c:dLbls>
            <c:dLbl>
              <c:idx val="0"/>
              <c:layout>
                <c:manualLayout>
                  <c:x val="0.007253580676921"/>
                  <c:y val="-0.0895630043279954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92287838975576"/>
                  <c:y val="0.0165572784738961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834335451755808"/>
                  <c:y val="-0.00689076915290148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748913662284125"/>
                  <c:y val="-0.1785673357494"/>
                </c:manualLayout>
              </c:layout>
              <c:numFmt formatCode="0.00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[收入预算图.xlsx]Sheet1!$B$2:$B$5</c:f>
              <c:strCache>
                <c:ptCount val="4"/>
                <c:pt idx="0">
                  <c:v>社会保障和就业支出</c:v>
                </c:pt>
                <c:pt idx="1">
                  <c:v>卫生健康支出</c:v>
                </c:pt>
                <c:pt idx="2">
                  <c:v>住房保障支出</c:v>
                </c:pt>
                <c:pt idx="3">
                  <c:v>教育支出</c:v>
                </c:pt>
              </c:strCache>
            </c:strRef>
          </c:cat>
          <c:val>
            <c:numRef>
              <c:f>[收入预算图.xlsx]Sheet1!$C$2:$C$5</c:f>
              <c:numCache>
                <c:formatCode>0.00%</c:formatCode>
                <c:ptCount val="4"/>
                <c:pt idx="0">
                  <c:v>0.2154</c:v>
                </c:pt>
                <c:pt idx="1">
                  <c:v>0.0421</c:v>
                </c:pt>
                <c:pt idx="2">
                  <c:v>0.0642</c:v>
                </c:pt>
                <c:pt idx="3">
                  <c:v>0.6783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</c:dLbls>
      </c:pie3D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9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100000">
            <a:schemeClr val="phClr"/>
          </a:gs>
          <a:gs pos="0">
            <a:schemeClr val="phClr">
              <a:hueOff val="-1670000"/>
            </a:schemeClr>
          </a:gs>
        </a:gsLst>
        <a:lin ang="5400000" scaled="0"/>
      </a:gradFill>
      <a:ln>
        <a:gradFill>
          <a:gsLst>
            <a:gs pos="100000">
              <a:schemeClr val="phClr">
                <a:lumMod val="75000"/>
              </a:schemeClr>
            </a:gs>
            <a:gs pos="0">
              <a:schemeClr val="phClr">
                <a:lumMod val="75000"/>
                <a:hueOff val="-1670000"/>
              </a:schemeClr>
            </a:gs>
          </a:gsLst>
          <a:lin ang="4620000" scaled="0"/>
        </a:gradFill>
      </a:ln>
      <a:effectLst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3554</Words>
  <Characters>3833</Characters>
  <Lines>3</Lines>
  <Paragraphs>7</Paragraphs>
  <TotalTime>34</TotalTime>
  <ScaleCrop>false</ScaleCrop>
  <LinksUpToDate>false</LinksUpToDate>
  <CharactersWithSpaces>3839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2024-06-23T03:42:05Z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4B589B6B695C4DC7952F61D9C4C27BB6_13</vt:lpwstr>
  </property>
</Properties>
</file>