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p>
    <w:p>
      <w:pPr>
        <w:spacing w:line="570" w:lineRule="atLeas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岳阳市君山区柳林洲镇中心学校</w:t>
      </w:r>
    </w:p>
    <w:p>
      <w:pPr>
        <w:spacing w:line="570" w:lineRule="atLeast"/>
        <w:jc w:val="center"/>
        <w:rPr>
          <w:rFonts w:ascii="黑体" w:hAnsi="黑体" w:eastAsia="黑体" w:cs="黑体"/>
          <w:b/>
          <w:bCs/>
          <w:sz w:val="48"/>
          <w:szCs w:val="48"/>
        </w:rPr>
      </w:pPr>
      <w:r>
        <w:rPr>
          <w:rFonts w:hint="eastAsia" w:ascii="方正小标宋简体" w:hAnsi="方正小标宋简体" w:eastAsia="方正小标宋简体" w:cs="方正小标宋简体"/>
          <w:b/>
          <w:bCs/>
          <w:sz w:val="44"/>
          <w:szCs w:val="44"/>
        </w:rPr>
        <w:t>2024年部门预算公开</w:t>
      </w:r>
    </w:p>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ind w:firstLine="643" w:firstLineChars="200"/>
        <w:rPr>
          <w:rFonts w:asciiTheme="minorEastAsia" w:hAnsiTheme="minorEastAsia" w:cstheme="minorEastAsia"/>
          <w:sz w:val="28"/>
          <w:szCs w:val="28"/>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asciiTheme="minorEastAsia" w:hAnsi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asciiTheme="minorEastAsia" w:hAnsiTheme="minorEastAsia" w:cstheme="minorEastAsia"/>
          <w:b/>
          <w:bCs/>
          <w:sz w:val="28"/>
          <w:szCs w:val="28"/>
        </w:rPr>
      </w:pPr>
    </w:p>
    <w:p>
      <w:pPr>
        <w:jc w:val="center"/>
        <w:rPr>
          <w:rFonts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ind w:firstLine="643" w:firstLineChars="200"/>
        <w:rPr>
          <w:rFonts w:ascii="Times New Roman" w:hAnsi="Times New Roman" w:eastAsia="黑体" w:cs="Times New Roman"/>
          <w:b/>
          <w:bCs/>
          <w:kern w:val="0"/>
          <w:sz w:val="32"/>
          <w:szCs w:val="32"/>
        </w:rPr>
      </w:pP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1、认真贯彻执行国家有关财经法规和学校财务制度。</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2、负责组织编制学校部门预算，并上报上级主管部门；组织编制学校预算，并对预算执行、调整等进行日常管理工作。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3、负责做好年终决算及会计报表的编制、审核，编写年度部门决算分析评价报告及上报工作。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4、负责配合领导争取国家财政拨款，多渠道筹集资金，建立和巩固良好的对外合作关系。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5、负责协调教育、财政、审计、税务等上级部门和学校纪监审等部门的专项检查工作。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6、负责学校教育工会会计核算、报表编制等财务管理工作。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7、负责学校会计人员的管理、继续教育培训等工作。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8、配合其他处室开展各项工作。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9、其他科室开展各项工作，完成领导交办的其他工作。</w:t>
      </w:r>
    </w:p>
    <w:p>
      <w:pPr>
        <w:spacing w:line="570" w:lineRule="atLeas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岳阳市君山区柳林洲镇中心学校为君山区教育局所属公益一类事业单位，经费形式为财政全额拨款。学校核定编制数111名，其中全额编制111名，差额编制0名，自收自支0名。该单位部门预算实有人员179人，其中在职人员111人，离休人员0人，退休人员68人，其他人员0人。现有教学班50个，学生2167人。岳阳市君山区柳林洲镇中心学校设置了柳林小学、濠河小学、五星小学、柳林洲镇中心幼儿园4个内设机构</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 xml:space="preserve">  </w:t>
      </w:r>
    </w:p>
    <w:p>
      <w:pPr>
        <w:ind w:firstLine="643" w:firstLineChars="200"/>
        <w:rPr>
          <w:rFonts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二、部门预算单位构成</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岳阳市君山区柳林洲镇中心学校部门只有本级，没有其他</w:t>
      </w:r>
      <w:r>
        <w:rPr>
          <w:rFonts w:hint="eastAsia" w:ascii="仿宋_GB2312" w:hAnsi="仿宋_GB2312" w:eastAsia="仿宋_GB2312" w:cs="仿宋_GB2312"/>
          <w:color w:val="000000"/>
          <w:sz w:val="32"/>
          <w:szCs w:val="32"/>
          <w:shd w:val="clear" w:color="auto" w:fill="FFFFFF"/>
          <w:lang w:eastAsia="zh-CN"/>
        </w:rPr>
        <w:t>二级</w:t>
      </w:r>
      <w:r>
        <w:rPr>
          <w:rFonts w:hint="eastAsia" w:ascii="仿宋_GB2312" w:hAnsi="仿宋_GB2312" w:eastAsia="仿宋_GB2312" w:cs="仿宋_GB2312"/>
          <w:color w:val="000000"/>
          <w:sz w:val="32"/>
          <w:szCs w:val="32"/>
          <w:shd w:val="clear" w:color="auto" w:fill="FFFFFF"/>
        </w:rPr>
        <w:t>预算单位，纳入2024年部门预算编制范围的只有君山区柳林洲镇中心学校本级。</w:t>
      </w:r>
    </w:p>
    <w:p>
      <w:pPr>
        <w:ind w:firstLine="643" w:firstLineChars="200"/>
        <w:rPr>
          <w:rFonts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三、部门收支总体情况</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单位2024年没有政府性基金预算拨款、国有资本经营预算收入和纳入专户管理的非税收入拨款收入，也没有使用政府性基金预算拨款、国有资本经营预算收入和纳入专户管理的非税收入拨款安排的支出，所以部门预算公开表15、16、17、18、19表均为空。</w:t>
      </w:r>
    </w:p>
    <w:p>
      <w:pPr>
        <w:numPr>
          <w:ilvl w:val="0"/>
          <w:numId w:val="1"/>
        </w:num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收入预算：</w:t>
      </w:r>
      <w:r>
        <w:rPr>
          <w:rFonts w:hint="eastAsia" w:ascii="仿宋_GB2312" w:hAnsi="仿宋_GB2312" w:eastAsia="仿宋_GB2312" w:cs="仿宋_GB2312"/>
          <w:color w:val="000000"/>
          <w:sz w:val="32"/>
          <w:szCs w:val="32"/>
          <w:shd w:val="clear" w:color="auto" w:fill="FFFFFF"/>
        </w:rPr>
        <w:t>包括一般公共预算、政府性基金、国有资本经营预算等财政拨款收入，以及经营收入、事业收入等单位资金。2024年本单位收入预算1842.80万元，其中，一般公共预算拨款1842.80万元，政府性基金预算资金0.00万元(所以部门预算公开表15-17表为空)，国有资本经营预算资金0.00万元(所以部门预算公开表18表为空)，财政专户管理资金0.00万元(所以部门预算公开表19表为空)，上级补助收入资金0.00万元，事业单位经营收入资金0.00万元，上年结转结余0.00万元。收入较上年增加58.92万元，上升1.03%。主要原因是工资调标和新招聘教师，从而导致</w:t>
      </w:r>
      <w:r>
        <w:rPr>
          <w:rFonts w:hint="eastAsia" w:eastAsia="仿宋_GB2312"/>
          <w:sz w:val="32"/>
          <w:szCs w:val="32"/>
        </w:rPr>
        <w:t>人员经费预算收入</w:t>
      </w:r>
      <w:r>
        <w:rPr>
          <w:rFonts w:hint="eastAsia" w:ascii="仿宋_GB2312" w:hAnsi="仿宋_GB2312" w:eastAsia="仿宋_GB2312" w:cs="仿宋_GB2312"/>
          <w:color w:val="000000"/>
          <w:sz w:val="32"/>
          <w:szCs w:val="32"/>
          <w:shd w:val="clear" w:color="auto" w:fill="FFFFFF"/>
        </w:rPr>
        <w:t>增加。</w:t>
      </w:r>
    </w:p>
    <w:p>
      <w:pPr>
        <w:pStyle w:val="2"/>
        <w:ind w:firstLine="0"/>
      </w:pPr>
      <w:r>
        <w:drawing>
          <wp:inline distT="0" distB="0" distL="114300" distR="114300">
            <wp:extent cx="4886325" cy="2667000"/>
            <wp:effectExtent l="6350" t="6350" r="2222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ind w:firstLine="0"/>
      </w:pPr>
    </w:p>
    <w:p>
      <w:pPr>
        <w:numPr>
          <w:ilvl w:val="0"/>
          <w:numId w:val="1"/>
        </w:num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支出预算：</w:t>
      </w:r>
      <w:r>
        <w:rPr>
          <w:rFonts w:hint="eastAsia" w:ascii="仿宋_GB2312" w:hAnsi="仿宋_GB2312" w:eastAsia="仿宋_GB2312" w:cs="仿宋_GB2312"/>
          <w:color w:val="000000"/>
          <w:sz w:val="32"/>
          <w:szCs w:val="32"/>
          <w:shd w:val="clear" w:color="auto" w:fill="FFFFFF"/>
        </w:rPr>
        <w:t>2024年本单位支出预算1842.80万元，其中：教育支出1320.39万元，社会保障和就业支出307.17万元，卫生健康支出83.15万元，住房保障支出132.09万元。支出较上年增加58.92万元，上升1.03%。主要原因是工资调标和新招聘教师，从而导致人员经费预算支出增加。</w:t>
      </w:r>
    </w:p>
    <w:p>
      <w:pPr>
        <w:pStyle w:val="2"/>
        <w:ind w:firstLine="0"/>
      </w:pPr>
      <w:r>
        <w:drawing>
          <wp:inline distT="0" distB="0" distL="114300" distR="114300">
            <wp:extent cx="5304790" cy="2695575"/>
            <wp:effectExtent l="4445" t="4445" r="571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643" w:firstLineChars="200"/>
        <w:rPr>
          <w:rFonts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2024年本单位一般公共预算拨款支出1842.80万元，其中：教育支出1320.39万元，占71.65%；社会保障和就业支出307.17万元，占16.67%。卫生健康支出83.15万元，占4.51%。住房保障支出132.09万元，占7.17%。具体安排情况如下：</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（一）基本支出：</w:t>
      </w:r>
      <w:r>
        <w:rPr>
          <w:rFonts w:hint="eastAsia" w:ascii="仿宋_GB2312" w:hAnsi="仿宋_GB2312" w:eastAsia="仿宋_GB2312" w:cs="仿宋_GB2312"/>
          <w:color w:val="000000"/>
          <w:sz w:val="32"/>
          <w:szCs w:val="32"/>
          <w:shd w:val="clear" w:color="auto" w:fill="FFFFFF"/>
        </w:rPr>
        <w:t>2024年本单位基本支出预算数1623.17万元，主要是为保障单位正常运转、完成日常工作任务而发生的各项支出，包括用于基本工资、津贴补贴等人员经费以及办公费、印刷费、水电费、办公设备购置等公用经费。</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（二）项目支出：</w:t>
      </w:r>
      <w:r>
        <w:rPr>
          <w:rFonts w:hint="eastAsia" w:ascii="仿宋_GB2312" w:hAnsi="仿宋_GB2312" w:eastAsia="仿宋_GB2312" w:cs="仿宋_GB2312"/>
          <w:color w:val="000000"/>
          <w:sz w:val="32"/>
          <w:szCs w:val="32"/>
          <w:shd w:val="clear" w:color="auto" w:fill="FFFFFF"/>
        </w:rPr>
        <w:t>2024年本单位项目支出预算219.63万元，主要是本单位为完成特定工作任务或事业发展目标而发生的支出，包括有关事业发展专项、专项业务费、基本建设支出等，其中：教育支出219.63万元，主要用于学校大型维修及提质改造等方面。</w:t>
      </w: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五、政府性基金预算支出</w:t>
      </w:r>
    </w:p>
    <w:p>
      <w:pPr>
        <w:ind w:firstLine="640" w:firstLineChars="200"/>
        <w:rPr>
          <w:rFonts w:asciiTheme="minorEastAsia" w:hAnsiTheme="minorEastAsia" w:cstheme="minorEastAsia"/>
          <w:color w:val="333333"/>
          <w:sz w:val="28"/>
          <w:szCs w:val="28"/>
          <w:shd w:val="clear" w:color="auto" w:fill="FFFFFF"/>
        </w:rPr>
      </w:pPr>
      <w:r>
        <w:rPr>
          <w:rFonts w:hint="eastAsia" w:ascii="仿宋_GB2312" w:hAnsi="仿宋_GB2312" w:eastAsia="仿宋_GB2312" w:cs="仿宋_GB2312"/>
          <w:color w:val="000000"/>
          <w:sz w:val="32"/>
          <w:szCs w:val="32"/>
          <w:shd w:val="clear" w:color="auto" w:fill="FFFFFF"/>
        </w:rPr>
        <w:t>2024年度本单位无政府性基金安排的支出，所以公开的附件15-17（政府性基金预算）为空。</w:t>
      </w: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六、其他重要事项的情况说明</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2024年岳阳市君山区柳林洲镇中心学校机关运行经费0万元，与上年预算相等，主要原因为本单位属公益一类事业单位，无机关运行经费预算。</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（二）“三公”经费预算：</w:t>
      </w:r>
      <w:r>
        <w:rPr>
          <w:rFonts w:hint="eastAsia" w:ascii="仿宋_GB2312" w:hAnsi="仿宋_GB2312" w:eastAsia="仿宋_GB2312" w:cs="仿宋_GB2312"/>
          <w:color w:val="000000"/>
          <w:sz w:val="32"/>
          <w:szCs w:val="32"/>
          <w:shd w:val="clear" w:color="auto" w:fill="FFFFFF"/>
        </w:rPr>
        <w:t>2024年本单位“三公”经费预算数为0万元，其中，公务接待费0万元，公务用车购置及运行费0万元（其中，公务用车购置费0万元，公务用车运行费0万元），因公出国（境）费0万元。2024年“三公”经费预算较2023年持平，主要原因是主要是严格落实中央“八项规定”精神和“过紧日子”的要求，从严控制“三公”经费支出。</w:t>
      </w:r>
      <w:bookmarkStart w:id="0" w:name="START_IS_ZERO_06_2"/>
      <w:bookmarkEnd w:id="0"/>
      <w:bookmarkStart w:id="1" w:name="END_IS_ZERO_06_1"/>
      <w:bookmarkEnd w:id="1"/>
      <w:bookmarkStart w:id="2" w:name="DIS_MARK_IS_ZERO_06_2"/>
      <w:bookmarkEnd w:id="2"/>
      <w:bookmarkStart w:id="3" w:name="END_IS_ZERO_06_2"/>
      <w:bookmarkEnd w:id="3"/>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（三）一般性支出情况：</w:t>
      </w:r>
      <w:r>
        <w:rPr>
          <w:rFonts w:hint="eastAsia" w:ascii="仿宋_GB2312" w:hAnsi="仿宋_GB2312" w:eastAsia="仿宋_GB2312" w:cs="仿宋_GB2312"/>
          <w:color w:val="000000"/>
          <w:sz w:val="32"/>
          <w:szCs w:val="32"/>
          <w:shd w:val="clear" w:color="auto" w:fill="FFFFFF"/>
        </w:rPr>
        <w:t>2024年本单位会议费预算0万元，拟召开0次会议，人数0人；培训费预算0万元，拟开展0次培训，人数0人；2024年度本</w:t>
      </w:r>
      <w:r>
        <w:rPr>
          <w:rFonts w:hint="eastAsia" w:ascii="仿宋_GB2312" w:hAnsi="仿宋_GB2312" w:eastAsia="仿宋_GB2312" w:cs="仿宋_GB2312"/>
          <w:color w:val="000000"/>
          <w:sz w:val="36"/>
          <w:szCs w:val="36"/>
          <w:shd w:val="clear" w:color="auto" w:fill="FFFFFF"/>
        </w:rPr>
        <w:t>部门</w:t>
      </w:r>
      <w:r>
        <w:rPr>
          <w:rFonts w:hint="eastAsia" w:ascii="仿宋_GB2312" w:hAnsi="仿宋_GB2312" w:eastAsia="仿宋_GB2312" w:cs="仿宋_GB2312"/>
          <w:color w:val="000000"/>
          <w:sz w:val="32"/>
          <w:szCs w:val="32"/>
          <w:shd w:val="clear" w:color="auto" w:fill="FFFFFF"/>
        </w:rPr>
        <w:t>未计划举办节庆、晚会、论坛、赛事活动。</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（四）政府采购情况：</w:t>
      </w:r>
      <w:r>
        <w:rPr>
          <w:rFonts w:hint="eastAsia" w:ascii="仿宋_GB2312" w:hAnsi="仿宋_GB2312" w:eastAsia="仿宋_GB2312" w:cs="仿宋_GB2312"/>
          <w:color w:val="000000"/>
          <w:sz w:val="32"/>
          <w:szCs w:val="32"/>
          <w:shd w:val="clear" w:color="auto" w:fill="FFFFFF"/>
        </w:rPr>
        <w:t>2024年本单位政府采购预算总额</w:t>
      </w:r>
      <w:r>
        <w:rPr>
          <w:rFonts w:hint="eastAsia" w:ascii="仿宋_GB2312" w:hAnsi="仿宋_GB2312" w:eastAsia="仿宋_GB2312" w:cs="仿宋_GB2312"/>
          <w:color w:val="000000"/>
          <w:sz w:val="32"/>
          <w:szCs w:val="32"/>
          <w:shd w:val="clear" w:color="auto" w:fill="FFFFFF"/>
          <w:lang w:val="en-US" w:eastAsia="zh-CN"/>
        </w:rPr>
        <w:t>67.50</w:t>
      </w:r>
      <w:r>
        <w:rPr>
          <w:rFonts w:hint="eastAsia" w:ascii="仿宋_GB2312" w:hAnsi="仿宋_GB2312" w:eastAsia="仿宋_GB2312" w:cs="仿宋_GB2312"/>
          <w:color w:val="000000"/>
          <w:sz w:val="32"/>
          <w:szCs w:val="32"/>
          <w:shd w:val="clear" w:color="auto" w:fill="FFFFFF"/>
        </w:rPr>
        <w:t>万元，其中，货物类采购预算</w:t>
      </w:r>
      <w:r>
        <w:rPr>
          <w:rFonts w:hint="eastAsia" w:ascii="仿宋_GB2312" w:hAnsi="仿宋_GB2312" w:eastAsia="仿宋_GB2312" w:cs="仿宋_GB2312"/>
          <w:color w:val="000000"/>
          <w:sz w:val="32"/>
          <w:szCs w:val="32"/>
          <w:shd w:val="clear" w:color="auto" w:fill="FFFFFF"/>
          <w:lang w:val="en-US" w:eastAsia="zh-CN"/>
        </w:rPr>
        <w:t>47.50</w:t>
      </w:r>
      <w:r>
        <w:rPr>
          <w:rFonts w:hint="eastAsia" w:ascii="仿宋_GB2312" w:hAnsi="仿宋_GB2312" w:eastAsia="仿宋_GB2312" w:cs="仿宋_GB2312"/>
          <w:color w:val="000000"/>
          <w:sz w:val="32"/>
          <w:szCs w:val="32"/>
          <w:shd w:val="clear" w:color="auto" w:fill="FFFFFF"/>
        </w:rPr>
        <w:t>万元；工程类采购预算</w:t>
      </w:r>
      <w:r>
        <w:rPr>
          <w:rFonts w:hint="eastAsia" w:ascii="仿宋_GB2312" w:hAnsi="仿宋_GB2312" w:eastAsia="仿宋_GB2312" w:cs="仿宋_GB2312"/>
          <w:color w:val="000000"/>
          <w:sz w:val="32"/>
          <w:szCs w:val="32"/>
          <w:shd w:val="clear" w:color="auto" w:fill="FFFFFF"/>
          <w:lang w:val="en-US" w:eastAsia="zh-CN"/>
        </w:rPr>
        <w:t>20.00</w:t>
      </w:r>
      <w:r>
        <w:rPr>
          <w:rFonts w:hint="eastAsia" w:ascii="仿宋_GB2312" w:hAnsi="仿宋_GB2312" w:eastAsia="仿宋_GB2312" w:cs="仿宋_GB2312"/>
          <w:color w:val="000000"/>
          <w:sz w:val="32"/>
          <w:szCs w:val="32"/>
          <w:shd w:val="clear" w:color="auto" w:fill="FFFFFF"/>
        </w:rPr>
        <w:t>万元；服务类采购预算0万元。</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（五）国有资产占用使用及新增资产配置情况：</w:t>
      </w:r>
      <w:r>
        <w:rPr>
          <w:rFonts w:hint="eastAsia" w:ascii="仿宋_GB2312" w:hAnsi="仿宋_GB2312" w:eastAsia="仿宋_GB2312" w:cs="仿宋_GB2312"/>
          <w:color w:val="000000"/>
          <w:sz w:val="32"/>
          <w:szCs w:val="32"/>
          <w:shd w:val="clear" w:color="auto" w:fill="FFFFFF"/>
        </w:rPr>
        <w:t>截至2023年12月底，本单位共有公务用车0辆，其中，机要通信用车0辆，应急保障用车0辆，执法执勤用车0辆，特种专业技术用车0辆，其他按照规定配备的公务用车0辆；单位价值50万元以上设备0台，其中，单位价值100万元以上设备0台。</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2024年拟新增配置公务用车0辆，其中，机要通信用车0辆，应急保障用车0辆，执法执勤用车0辆，特种专业技术用车0辆，其他按照规定配备的公务用车0辆；新增配备单位价值50万元以上设备0台，其中，单位价值100万元以上设备0台。</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（六）预算绩效目标说明：</w:t>
      </w:r>
      <w:r>
        <w:rPr>
          <w:rFonts w:hint="eastAsia" w:ascii="仿宋_GB2312" w:hAnsi="仿宋_GB2312" w:eastAsia="仿宋_GB2312" w:cs="仿宋_GB2312"/>
          <w:color w:val="000000"/>
          <w:sz w:val="32"/>
          <w:szCs w:val="32"/>
          <w:shd w:val="clear" w:color="auto" w:fill="FFFFFF"/>
        </w:rPr>
        <w:t>本单位所有支出实行绩效目标管理。纳入2024年单位整体支出绩效目标的金额为1842.8万元，其中，基本支出1623.17万元，项目支出219.63万元，具体绩效目标详见文尾附表中部门预算公开表21-22表。</w:t>
      </w:r>
    </w:p>
    <w:p>
      <w:pPr>
        <w:ind w:firstLine="643" w:firstLineChars="200"/>
        <w:rPr>
          <w:rFonts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1．机关运行经费：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2．“三公”经费：</w:t>
      </w:r>
      <w:r>
        <w:rPr>
          <w:rFonts w:hint="eastAsia" w:ascii="仿宋_GB2312" w:hAnsi="仿宋_GB2312" w:eastAsia="仿宋_GB2312" w:cs="仿宋_GB2312"/>
          <w:color w:val="000000"/>
          <w:sz w:val="32"/>
          <w:szCs w:val="32"/>
          <w:shd w:val="clear" w:color="auto" w:fill="FFFFFF"/>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6"/>
        <w:widowControl/>
        <w:spacing w:beforeAutospacing="0" w:afterAutospacing="0" w:line="22" w:lineRule="atLeast"/>
        <w:jc w:val="center"/>
        <w:textAlignment w:val="center"/>
        <w:rPr>
          <w:rFonts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hint="eastAsia" w:ascii="方正小标宋简体" w:hAnsi="Times New Roman" w:eastAsia="方正小标宋简体"/>
          <w:b/>
          <w:bCs/>
          <w:sz w:val="36"/>
          <w:szCs w:val="36"/>
        </w:rPr>
      </w:pPr>
    </w:p>
    <w:p>
      <w:pPr>
        <w:pStyle w:val="6"/>
        <w:widowControl/>
        <w:spacing w:beforeAutospacing="0" w:afterAutospacing="0" w:line="22" w:lineRule="atLeast"/>
        <w:ind w:firstLine="1084" w:firstLineChars="300"/>
        <w:jc w:val="both"/>
        <w:textAlignment w:val="center"/>
        <w:rPr>
          <w:rFonts w:ascii="方正小标宋简体" w:hAnsi="Times New Roman" w:eastAsia="方正小标宋简体"/>
          <w:b/>
          <w:bCs/>
          <w:sz w:val="36"/>
          <w:szCs w:val="36"/>
        </w:rPr>
      </w:pPr>
      <w:bookmarkStart w:id="4" w:name="_GoBack"/>
      <w:bookmarkEnd w:id="4"/>
      <w:r>
        <w:rPr>
          <w:rFonts w:hint="eastAsia" w:ascii="方正小标宋简体" w:hAnsi="Times New Roman" w:eastAsia="方正小标宋简体"/>
          <w:b/>
          <w:bCs/>
          <w:sz w:val="36"/>
          <w:szCs w:val="36"/>
        </w:rPr>
        <w:t>第二部分  2024年部门预算公开表格</w:t>
      </w:r>
    </w:p>
    <w:p>
      <w:pPr>
        <w:ind w:firstLine="640" w:firstLineChars="200"/>
        <w:rPr>
          <w:rFonts w:ascii="仿宋_GB2312" w:hAnsi="仿宋_GB2312" w:eastAsia="仿宋_GB2312" w:cs="仿宋_GB2312"/>
          <w:color w:val="000000"/>
          <w:sz w:val="32"/>
          <w:szCs w:val="32"/>
          <w:shd w:val="clear" w:color="auto" w:fill="FFFFFF"/>
        </w:rPr>
      </w:pP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注：以上部门预算公开报表中，空表表示本单位无相关收支情况。</w:t>
      </w:r>
    </w:p>
    <w:p>
      <w:pPr>
        <w:ind w:firstLine="640" w:firstLineChars="200"/>
        <w:rPr>
          <w:rFonts w:ascii="仿宋_GB2312" w:hAnsi="仿宋_GB2312" w:eastAsia="仿宋_GB2312" w:cs="仿宋_GB2312"/>
          <w:color w:val="000000"/>
          <w:sz w:val="32"/>
          <w:szCs w:val="32"/>
          <w:shd w:val="clear" w:color="auto" w:fill="FFFFFF"/>
        </w:rPr>
      </w:pPr>
    </w:p>
    <w:p>
      <w:pPr>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附件：岳阳市君山区柳林洲镇中心学校2024年部门预算公开表</w:t>
      </w:r>
    </w:p>
    <w:p>
      <w:pPr>
        <w:ind w:firstLine="640" w:firstLineChars="200"/>
        <w:rPr>
          <w:rFonts w:ascii="仿宋_GB2312" w:hAnsi="仿宋_GB2312" w:eastAsia="仿宋_GB2312" w:cs="仿宋_GB2312"/>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C3CBB"/>
    <w:multiLevelType w:val="singleLevel"/>
    <w:tmpl w:val="57CC3C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0MzkxYTllNGUzYWMwZmMyNjFiNTViYzNiYzdlYTAifQ=="/>
  </w:docVars>
  <w:rsids>
    <w:rsidRoot w:val="637274E6"/>
    <w:rsid w:val="000C7A79"/>
    <w:rsid w:val="000F58CD"/>
    <w:rsid w:val="00217684"/>
    <w:rsid w:val="002C4E9D"/>
    <w:rsid w:val="004D4DAE"/>
    <w:rsid w:val="005D0456"/>
    <w:rsid w:val="00703D77"/>
    <w:rsid w:val="00995AED"/>
    <w:rsid w:val="009C42FB"/>
    <w:rsid w:val="00B578B9"/>
    <w:rsid w:val="00CB3F0A"/>
    <w:rsid w:val="00F36E35"/>
    <w:rsid w:val="01EC3E90"/>
    <w:rsid w:val="02140C7A"/>
    <w:rsid w:val="02B22CB6"/>
    <w:rsid w:val="046523F8"/>
    <w:rsid w:val="088363E7"/>
    <w:rsid w:val="0AD8381E"/>
    <w:rsid w:val="0B172D74"/>
    <w:rsid w:val="0B5218A1"/>
    <w:rsid w:val="0B653E82"/>
    <w:rsid w:val="0D2C1E78"/>
    <w:rsid w:val="0E042561"/>
    <w:rsid w:val="0F2A3A2C"/>
    <w:rsid w:val="0FFD3B67"/>
    <w:rsid w:val="10797237"/>
    <w:rsid w:val="16042156"/>
    <w:rsid w:val="16247C45"/>
    <w:rsid w:val="167C1082"/>
    <w:rsid w:val="192632E6"/>
    <w:rsid w:val="1A5C4C91"/>
    <w:rsid w:val="1B6F1962"/>
    <w:rsid w:val="1C744CBF"/>
    <w:rsid w:val="1C914169"/>
    <w:rsid w:val="1F572E39"/>
    <w:rsid w:val="1F8154A2"/>
    <w:rsid w:val="20034AD4"/>
    <w:rsid w:val="22767EB0"/>
    <w:rsid w:val="22861ED8"/>
    <w:rsid w:val="2369654A"/>
    <w:rsid w:val="27562CA6"/>
    <w:rsid w:val="286F1B1C"/>
    <w:rsid w:val="28D728F5"/>
    <w:rsid w:val="291573B6"/>
    <w:rsid w:val="2A5727A7"/>
    <w:rsid w:val="2B3247EE"/>
    <w:rsid w:val="2DC518B5"/>
    <w:rsid w:val="2E9372BE"/>
    <w:rsid w:val="30F54535"/>
    <w:rsid w:val="328F1D91"/>
    <w:rsid w:val="34253A6A"/>
    <w:rsid w:val="36214EDF"/>
    <w:rsid w:val="37234DA9"/>
    <w:rsid w:val="395E7E49"/>
    <w:rsid w:val="398C704B"/>
    <w:rsid w:val="3A486D41"/>
    <w:rsid w:val="3CB10683"/>
    <w:rsid w:val="3E4B1963"/>
    <w:rsid w:val="40731651"/>
    <w:rsid w:val="40BA4B7E"/>
    <w:rsid w:val="42E3660E"/>
    <w:rsid w:val="4601059C"/>
    <w:rsid w:val="4602087F"/>
    <w:rsid w:val="4748485A"/>
    <w:rsid w:val="4AFC64BF"/>
    <w:rsid w:val="4BBE358A"/>
    <w:rsid w:val="4E514D65"/>
    <w:rsid w:val="4EE728E7"/>
    <w:rsid w:val="4F0307B2"/>
    <w:rsid w:val="4F302902"/>
    <w:rsid w:val="52077AEA"/>
    <w:rsid w:val="55E76771"/>
    <w:rsid w:val="58AA6296"/>
    <w:rsid w:val="58AF2EC0"/>
    <w:rsid w:val="5A13112F"/>
    <w:rsid w:val="5BC30933"/>
    <w:rsid w:val="5C8646D2"/>
    <w:rsid w:val="5DC12353"/>
    <w:rsid w:val="60B42209"/>
    <w:rsid w:val="61B733C9"/>
    <w:rsid w:val="62C91AD5"/>
    <w:rsid w:val="630F360E"/>
    <w:rsid w:val="637274E6"/>
    <w:rsid w:val="63E65795"/>
    <w:rsid w:val="65B57FA7"/>
    <w:rsid w:val="675A13CF"/>
    <w:rsid w:val="682C3048"/>
    <w:rsid w:val="6B1B73BC"/>
    <w:rsid w:val="6F4B168B"/>
    <w:rsid w:val="70F118E0"/>
    <w:rsid w:val="71704C61"/>
    <w:rsid w:val="719F6C19"/>
    <w:rsid w:val="78CC0C1A"/>
    <w:rsid w:val="796123DF"/>
    <w:rsid w:val="7AE949AB"/>
    <w:rsid w:val="7C2B1F26"/>
    <w:rsid w:val="7D266D66"/>
    <w:rsid w:val="7E7E5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I:\&#35745;&#36130;&#32929;\2024\2024&#24180;&#37096;&#38376;&#39044;&#31639;&#20844;&#24320;\&#25945;&#32946;&#31995;&#32479;&#21508;&#21333;&#20301;2024&#24180;&#37096;&#38376;&#39044;&#31639;&#20844;&#24320;&#19978;&#25253;\&#21531;&#23665;&#21306;&#26611;&#26519;&#27954;&#38215;&#20013;&#24515;&#23398;&#26657;2024&#24180;&#24230;&#39044;&#31639;&#20844;&#24320;\&#21531;&#23665;&#21306;&#26611;&#26519;&#27954;&#38215;&#20013;&#24515;&#23398;&#26657;2024&#24180;&#24230;&#37096;&#38376;&#39044;&#31639;&#20844;&#24320;&#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zh-CN" altLang="en-US"/>
              <a:t>收入预算图</a:t>
            </a:r>
            <a:endParaRPr lang="zh-CN" altLang="en-US"/>
          </a:p>
        </c:rich>
      </c:tx>
      <c:layout/>
      <c:overlay val="0"/>
    </c:title>
    <c:autoTitleDeleted val="0"/>
    <c:plotArea>
      <c:layout/>
      <c:pieChart>
        <c:varyColors val="1"/>
        <c:ser>
          <c:idx val="0"/>
          <c:order val="0"/>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[Book1.xlsx]Sheet1!$A$6</c:f>
              <c:strCache>
                <c:ptCount val="1"/>
                <c:pt idx="0">
                  <c:v>一般公共预算拨款收入</c:v>
                </c:pt>
              </c:strCache>
            </c:strRef>
          </c:cat>
          <c:val>
            <c:numRef>
              <c:f>[Book1.xlsx]Sheet1!$A$7</c:f>
              <c:numCache>
                <c:formatCode>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0737532808399"/>
          <c:y val="0.0547878390201225"/>
          <c:w val="0.236068022747157"/>
          <c:h val="0.30709098862642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[君山区柳林洲镇中心学校2024年度部门预算公开表格.xlsx]Sheet1!$D$22</c:f>
              <c:strCache>
                <c:ptCount val="1"/>
                <c:pt idx="0">
                  <c:v>总和("列2")</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235667186732957"/>
                  <c:y val="-0.061064795238948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教育支出 71.65%</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610690358049752"/>
                  <c:y val="0.066227307136439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社会保障和就业支出 16.67%</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92585755638146"/>
                  <c:y val="0.050346916153593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住房保障支出 7.17%</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95153502658647"/>
                  <c:y val="0.055568364623912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卫生健康支出 4.51%</a:t>
                    </a:r>
                  </a:p>
                </c:rich>
              </c:tx>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[君山区柳林洲镇中心学校2024年度部门预算公开表格.xlsx]Sheet1!$E$21:$I$21</c:f>
              <c:strCache>
                <c:ptCount val="5"/>
                <c:pt idx="0">
                  <c:v>教育支出</c:v>
                </c:pt>
                <c:pt idx="1">
                  <c:v>社会保障和就业支出</c:v>
                </c:pt>
                <c:pt idx="2">
                  <c:v>住房保障支出</c:v>
                </c:pt>
                <c:pt idx="3">
                  <c:v>卫生健康支出</c:v>
                </c:pt>
                <c:pt idx="4">
                  <c:v>支出预算图</c:v>
                </c:pt>
              </c:strCache>
            </c:strRef>
          </c:cat>
          <c:val>
            <c:numRef>
              <c:f>[君山区柳林洲镇中心学校2024年度部门预算公开表格.xlsx]Sheet1!$E$22:$I$22</c:f>
              <c:numCache>
                <c:formatCode>General</c:formatCode>
                <c:ptCount val="5"/>
                <c:pt idx="0">
                  <c:v>1320.39</c:v>
                </c:pt>
                <c:pt idx="1">
                  <c:v>307.17</c:v>
                </c:pt>
                <c:pt idx="2">
                  <c:v>132.09</c:v>
                </c:pt>
                <c:pt idx="3">
                  <c:v>83.15</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3595</Words>
  <Characters>3891</Characters>
  <Lines>3</Lines>
  <Paragraphs>8</Paragraphs>
  <TotalTime>26</TotalTime>
  <ScaleCrop>false</ScaleCrop>
  <LinksUpToDate>false</LinksUpToDate>
  <CharactersWithSpaces>3899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Administrator</cp:lastModifiedBy>
  <dcterms:modified xsi:type="dcterms:W3CDTF">2024-06-23T03:26:22Z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4B589B6B695C4DC7952F61D9C4C27BB6_13</vt:lpwstr>
  </property>
</Properties>
</file>