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市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君山区广兴洲镇人民政府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27" w:firstLineChars="196"/>
        <w:textAlignment w:val="auto"/>
        <w:outlineLvl w:val="9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1、执行本级人民代表大会的决议和上级国家行政机关的决定和命令，发布决定和命令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27" w:firstLineChars="196"/>
        <w:textAlignment w:val="auto"/>
        <w:outlineLvl w:val="9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2、执行本行政区域内的经济和社会发展计划、预算，管理本行政区域内的经济、教育、科学、文化、卫生、体育事业和财政、民政、公安、司法行政、计划生育等行政工作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27" w:firstLineChars="196"/>
        <w:textAlignment w:val="auto"/>
        <w:outlineLvl w:val="9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3、保护社会主义的全民所有的财产和劳动群众集体所有的财产，保护公民私人所有的合法财产，维护社会秩序，保障公民的人身权利、民主权利和其他权利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27" w:firstLineChars="196"/>
        <w:textAlignment w:val="auto"/>
        <w:outlineLvl w:val="9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4、保护各种经济组织的合法权益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27" w:firstLineChars="196"/>
        <w:textAlignment w:val="auto"/>
        <w:outlineLvl w:val="9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5、保障少数民族的权利和尊重少数民族的风俗习惯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27" w:firstLineChars="196"/>
        <w:textAlignment w:val="auto"/>
        <w:outlineLvl w:val="9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6、保障宪法和法律赋予妇女的男女平等、同工同酬和婚姻自由等各项权利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27" w:firstLineChars="196"/>
        <w:textAlignment w:val="auto"/>
        <w:outlineLvl w:val="9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7、办理区委区人民政府交办的其他事项。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27" w:firstLineChars="196"/>
        <w:textAlignment w:val="auto"/>
        <w:outlineLvl w:val="9"/>
        <w:rPr>
          <w:rFonts w:hint="eastAsia" w:asciiTheme="minorEastAsia" w:hAnsiTheme="minorEastAsia" w:cstheme="minorEastAsia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君山区广兴洲镇人民政府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内设机构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个，事业单位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个。内设机构包括：</w:t>
      </w:r>
      <w:r>
        <w:rPr>
          <w:rFonts w:hint="eastAsia" w:eastAsia="仿宋_GB2312"/>
          <w:sz w:val="32"/>
          <w:szCs w:val="32"/>
          <w:lang w:eastAsia="zh-CN"/>
        </w:rPr>
        <w:t>社会事业综合服务中心</w:t>
      </w:r>
      <w:r>
        <w:rPr>
          <w:rFonts w:hint="eastAsia" w:eastAsia="仿宋_GB2312"/>
          <w:sz w:val="32"/>
          <w:szCs w:val="32"/>
        </w:rPr>
        <w:t>、农</w:t>
      </w:r>
      <w:r>
        <w:rPr>
          <w:rFonts w:hint="eastAsia" w:eastAsia="仿宋_GB2312"/>
          <w:sz w:val="32"/>
          <w:szCs w:val="32"/>
          <w:lang w:eastAsia="zh-CN"/>
        </w:rPr>
        <w:t>业综合</w:t>
      </w:r>
      <w:r>
        <w:rPr>
          <w:rFonts w:hint="eastAsia" w:eastAsia="仿宋_GB2312"/>
          <w:sz w:val="32"/>
          <w:szCs w:val="32"/>
        </w:rPr>
        <w:t>服务中心、</w:t>
      </w:r>
      <w:r>
        <w:rPr>
          <w:rFonts w:hint="eastAsia" w:eastAsia="仿宋_GB2312"/>
          <w:sz w:val="32"/>
          <w:szCs w:val="32"/>
          <w:lang w:eastAsia="zh-CN"/>
        </w:rPr>
        <w:t>综合行政执法大队</w:t>
      </w:r>
      <w:r>
        <w:rPr>
          <w:rFonts w:hint="eastAsia" w:eastAsia="仿宋_GB2312"/>
          <w:sz w:val="32"/>
          <w:szCs w:val="32"/>
        </w:rPr>
        <w:t>、</w:t>
      </w:r>
      <w:r>
        <w:rPr>
          <w:rFonts w:hint="eastAsia" w:eastAsia="仿宋_GB2312"/>
          <w:sz w:val="32"/>
          <w:szCs w:val="32"/>
          <w:lang w:eastAsia="zh-CN"/>
        </w:rPr>
        <w:t>环境卫生服务中心</w:t>
      </w:r>
      <w:r>
        <w:rPr>
          <w:rFonts w:hint="eastAsia" w:eastAsia="仿宋_GB2312"/>
          <w:sz w:val="32"/>
          <w:szCs w:val="32"/>
        </w:rPr>
        <w:t>、</w:t>
      </w:r>
      <w:r>
        <w:rPr>
          <w:rFonts w:hint="eastAsia" w:eastAsia="仿宋_GB2312"/>
          <w:sz w:val="32"/>
          <w:szCs w:val="32"/>
          <w:lang w:eastAsia="zh-CN"/>
        </w:rPr>
        <w:t>政务服务中心、退役军人服务站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个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部门。</w:t>
      </w:r>
      <w:r>
        <w:rPr>
          <w:rFonts w:hint="eastAsia" w:asciiTheme="minorEastAsia" w:hAnsiTheme="minorEastAsia" w:cstheme="minorEastAsia"/>
          <w:color w:val="auto"/>
          <w:sz w:val="28"/>
          <w:szCs w:val="28"/>
          <w:highlight w:val="none"/>
          <w:lang w:val="en-US" w:eastAsia="zh-CN"/>
        </w:rPr>
        <w:t xml:space="preserve">   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highlight w:val="none"/>
          <w:shd w:val="clear" w:fill="FFFFFF"/>
        </w:rPr>
      </w:pPr>
      <w:bookmarkStart w:id="0" w:name="DEPT_COMPOSE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君山区广兴洲镇人民政府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部门只有本级，没有其他二级预算单位，因此，纳入2024年部门预算编制范围的只有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君山区广兴洲镇人民政府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算1386.79万元，其中，一般公共预算拨款1386.79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132.66万元，下降8.73%。主要原因是村（社区）干部工资从2024年起由区直部门直接打卡发放，此部分预算已调剂出去，从而导致社区运转保障经费和村级运转保障经费预算收入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686300" cy="2524125"/>
            <wp:effectExtent l="6350" t="6350" r="12700" b="22225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leftChars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1386.79万元，其中：一般公共服务支出857.14万元，社会保障和就业支出132.39万元，卫生健康支出34.41万元，住房保障支出56.25万元，城乡社区支出91.2万元，农林水支出215.4万元。支出较上年减少132.66万元，下降8.73%。主要原因是村（社区）干部工资从2024年起由区直部门直接打卡发放，预算收入减少，从而导致社区运转保障经费和村级运转保障经费预算支出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5392420" cy="2863215"/>
            <wp:effectExtent l="4445" t="4445" r="13335" b="8890"/>
            <wp:docPr id="6" name="图表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1386.79万元，其中：一般公共服务支出857.14万元，占61.81%；社会保障和就业支出132.39万元，占9.54%；卫生健康支出34.41万元，占2.48%；住房保障支出56.25万元，占4.06%；城乡社区支出91.2万元，占6.58%；农村综合改革215.4万元，占15.53%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2024年本部门基本支出预算数840.19万元，主要是为保障部门正常运转、完成日常工作任务而发生的各项支出，包括用于基本工资、津贴补贴等人员经费以及办公费、印刷费、水电费、办公设备购置等公用经费。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546.6万元，主要是本部门为完成特定工作任务或事业发展目标而发生的支出，包括有关事业发展专项、专项业务费、基本建设支出等，其中：一般公共服务支出240万元，主要用于全国文明乡镇复检、农村人居环境整治、完成各项重点民生实事等工作；农林水支出215.4万元，主要用于保障9个村正常运转、村（社区）组织规范建设资金及服务群众专项经费支出；城乡社区支出91.2万元，主要用于保障3个社区正常运转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君山区广兴洲镇人民政府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部门机关运行经费93.11万元，比上年预算上升46.4%。主要原因是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shd w:val="clear" w:color="auto" w:fill="FFFFFF"/>
          <w:lang w:val="en-US" w:eastAsia="zh-CN" w:bidi="ar-SA"/>
        </w:rPr>
        <w:t>2024年新招录工作人员7人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，造成公用经费预算增加。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0万元，其中，公务接待费0万元，公务用车购置及运行费0万元（其中，公务用车购置费0万元，公务用车运行费0万元），因公出国（境）费0万元。2024年“三公”经费预算较2023年减少1.5万元，主要原因是严格落实中央“八项规定”精神和“过紧日子”的要求，从严控制“三公”经费支出。</w:t>
      </w:r>
      <w:bookmarkStart w:id="1" w:name="START_IS_ZERO_06_2"/>
      <w:bookmarkEnd w:id="1"/>
      <w:bookmarkStart w:id="2" w:name="END_IS_ZERO_06_1"/>
      <w:bookmarkEnd w:id="2"/>
      <w:bookmarkStart w:id="3" w:name="END_IS_ZERO_06_2"/>
      <w:bookmarkEnd w:id="3"/>
      <w:bookmarkStart w:id="4" w:name="DIS_MARK_IS_ZERO_06_2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2024年本部门会议费预算0万元，拟召开0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会议，人数0人；培训费预算0万元，拟开展0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培训，人数0人；2024年度本部门未计划举办节庆、晚会、论坛、赛事活动。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2024年本部门政府采购预算总额43</w:t>
      </w:r>
      <w:bookmarkStart w:id="5" w:name="_GoBack"/>
      <w:bookmarkEnd w:id="5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万元，其中，货物类采购预算33万元；工程类采购预算0万元；服务类采购预算10万元。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本部门所有支出实行绩效目标管理。纳入2024年部门整体支出绩效目标的金额为1386.79万元，其中，基本支出840.19万元，项目支出546.6万元，具体绩效目标详见文尾附表中部门预算公开表21-22表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附件：君山区广兴洲镇人民政府2024年部门预算公开表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7C75DFA"/>
    <w:rsid w:val="0992531D"/>
    <w:rsid w:val="0A0D382D"/>
    <w:rsid w:val="0D8D68F1"/>
    <w:rsid w:val="0E4B58DB"/>
    <w:rsid w:val="0ED939EE"/>
    <w:rsid w:val="0F1663CA"/>
    <w:rsid w:val="13385187"/>
    <w:rsid w:val="167C1082"/>
    <w:rsid w:val="16B94831"/>
    <w:rsid w:val="1B156429"/>
    <w:rsid w:val="1C744CBF"/>
    <w:rsid w:val="200307FA"/>
    <w:rsid w:val="20A420AE"/>
    <w:rsid w:val="213E1D14"/>
    <w:rsid w:val="22CB72A5"/>
    <w:rsid w:val="230C7214"/>
    <w:rsid w:val="264178B0"/>
    <w:rsid w:val="29EC6874"/>
    <w:rsid w:val="2BF01473"/>
    <w:rsid w:val="2D6329A9"/>
    <w:rsid w:val="2EF502C5"/>
    <w:rsid w:val="300F6705"/>
    <w:rsid w:val="305B1762"/>
    <w:rsid w:val="305B3D34"/>
    <w:rsid w:val="305C2E10"/>
    <w:rsid w:val="324A2389"/>
    <w:rsid w:val="328F1D91"/>
    <w:rsid w:val="32982A78"/>
    <w:rsid w:val="32C66482"/>
    <w:rsid w:val="35683252"/>
    <w:rsid w:val="35D63F1B"/>
    <w:rsid w:val="361C522A"/>
    <w:rsid w:val="36A3306C"/>
    <w:rsid w:val="36BE748E"/>
    <w:rsid w:val="372419C7"/>
    <w:rsid w:val="38C2711D"/>
    <w:rsid w:val="3951638D"/>
    <w:rsid w:val="396A2E9D"/>
    <w:rsid w:val="3A242018"/>
    <w:rsid w:val="3BDE696C"/>
    <w:rsid w:val="3F116709"/>
    <w:rsid w:val="3F150D8C"/>
    <w:rsid w:val="3F3A7BFC"/>
    <w:rsid w:val="403F2E01"/>
    <w:rsid w:val="44C24001"/>
    <w:rsid w:val="4555609A"/>
    <w:rsid w:val="47E411CF"/>
    <w:rsid w:val="490966A2"/>
    <w:rsid w:val="49B605D8"/>
    <w:rsid w:val="4AD36F68"/>
    <w:rsid w:val="4ADD73C0"/>
    <w:rsid w:val="4BC03402"/>
    <w:rsid w:val="4DBF1A26"/>
    <w:rsid w:val="4EE728E7"/>
    <w:rsid w:val="51066F16"/>
    <w:rsid w:val="51B004D2"/>
    <w:rsid w:val="52241F08"/>
    <w:rsid w:val="54244912"/>
    <w:rsid w:val="56301712"/>
    <w:rsid w:val="574216FD"/>
    <w:rsid w:val="576A0C54"/>
    <w:rsid w:val="58A12453"/>
    <w:rsid w:val="5A380B96"/>
    <w:rsid w:val="5BA7140E"/>
    <w:rsid w:val="5D647EF4"/>
    <w:rsid w:val="5DE306BB"/>
    <w:rsid w:val="5F3F29C6"/>
    <w:rsid w:val="61A75AF9"/>
    <w:rsid w:val="637274E6"/>
    <w:rsid w:val="63894210"/>
    <w:rsid w:val="64C7681D"/>
    <w:rsid w:val="662F72F1"/>
    <w:rsid w:val="66B263EF"/>
    <w:rsid w:val="6B49147A"/>
    <w:rsid w:val="6C0749A4"/>
    <w:rsid w:val="6C5E2742"/>
    <w:rsid w:val="6CB542C8"/>
    <w:rsid w:val="6CC62031"/>
    <w:rsid w:val="6FEB78B7"/>
    <w:rsid w:val="70AE175A"/>
    <w:rsid w:val="721F6E5B"/>
    <w:rsid w:val="72860C2E"/>
    <w:rsid w:val="728C4B01"/>
    <w:rsid w:val="729A1F96"/>
    <w:rsid w:val="739C7F8F"/>
    <w:rsid w:val="73BE1EBD"/>
    <w:rsid w:val="78CC0C1A"/>
    <w:rsid w:val="791A5BDE"/>
    <w:rsid w:val="7AFB04E9"/>
    <w:rsid w:val="7C9338B5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package" Target="../embeddings/Workbook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>
        <c:manualLayout>
          <c:xMode val="edge"/>
          <c:yMode val="edge"/>
          <c:x val="0.369783197831978"/>
          <c:y val="0.0339622641509434"/>
        </c:manualLayout>
      </c:layout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1" i="0" u="none" strike="noStrike" kern="1200" baseline="0">
                <a:solidFill>
                  <a:schemeClr val="tx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>
                <a:latin typeface="黑体" panose="02010609060101010101" charset="-122"/>
                <a:ea typeface="黑体" panose="02010609060101010101" charset="-122"/>
              </a:rPr>
              <a:t>支出预算图</a:t>
            </a:r>
            <a:endParaRPr>
              <a:latin typeface="黑体" panose="02010609060101010101" charset="-122"/>
              <a:ea typeface="黑体" panose="02010609060101010101" charset="-122"/>
            </a:endParaRPr>
          </a:p>
        </c:rich>
      </c:tx>
      <c:layout>
        <c:manualLayout>
          <c:xMode val="edge"/>
          <c:yMode val="edge"/>
          <c:x val="0.408619877531795"/>
          <c:y val="0.0232867598137059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支出预算图</c:v>
                </c:pt>
              </c:strCache>
            </c:strRef>
          </c:tx>
          <c:spPr/>
          <c:explosion val="0"/>
          <c:dPt>
            <c:idx val="0"/>
            <c:bubble3D val="0"/>
            <c:spPr>
              <a:solidFill>
                <a:schemeClr val="accent1"/>
              </a:solidFill>
              <a:ln>
                <a:solidFill>
                  <a:schemeClr val="bg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>
                <a:solidFill>
                  <a:schemeClr val="bg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>
                <a:solidFill>
                  <a:schemeClr val="bg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>
                <a:solidFill>
                  <a:schemeClr val="bg1"/>
                </a:solidFill>
              </a:ln>
              <a:effectLst/>
            </c:spPr>
          </c:dPt>
          <c:dPt>
            <c:idx val="4"/>
            <c:bubble3D val="0"/>
            <c:spPr>
              <a:solidFill>
                <a:schemeClr val="accent5"/>
              </a:solidFill>
              <a:ln>
                <a:solidFill>
                  <a:schemeClr val="bg1"/>
                </a:solidFill>
              </a:ln>
              <a:effectLst/>
            </c:spPr>
          </c:dPt>
          <c:dPt>
            <c:idx val="5"/>
            <c:bubble3D val="0"/>
            <c:spPr>
              <a:solidFill>
                <a:schemeClr val="accent6"/>
              </a:solidFill>
              <a:ln>
                <a:solidFill>
                  <a:schemeClr val="bg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Sheet1!$A$2:$A$7</c:f>
              <c:strCache>
                <c:ptCount val="6"/>
                <c:pt idx="0">
                  <c:v>一般公共服务支出</c:v>
                </c:pt>
                <c:pt idx="1">
                  <c:v>社会保障和就业支出</c:v>
                </c:pt>
                <c:pt idx="2">
                  <c:v>卫生健康支出</c:v>
                </c:pt>
                <c:pt idx="3">
                  <c:v>住房保障支出</c:v>
                </c:pt>
                <c:pt idx="4">
                  <c:v>城乡社区支出</c:v>
                </c:pt>
                <c:pt idx="5">
                  <c:v>农村综合改革</c:v>
                </c:pt>
              </c:strCache>
            </c:strRef>
          </c:cat>
          <c:val>
            <c:numRef>
              <c:f>Sheet1!$B$2:$B$7</c:f>
              <c:numCache>
                <c:formatCode>0.00%</c:formatCode>
                <c:ptCount val="6"/>
                <c:pt idx="0">
                  <c:v>0.6181</c:v>
                </c:pt>
                <c:pt idx="1">
                  <c:v>0.0954</c:v>
                </c:pt>
                <c:pt idx="2">
                  <c:v>0.0248</c:v>
                </c:pt>
                <c:pt idx="3">
                  <c:v>0.0406</c:v>
                </c:pt>
                <c:pt idx="4">
                  <c:v>0.0658</c:v>
                </c:pt>
                <c:pt idx="5">
                  <c:v>0.1553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noFill/>
    <a:ln w="9525" cap="flat" cmpd="sng" algn="ctr">
      <a:solidFill>
        <a:schemeClr val="tx1"/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8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solidFill>
          <a:schemeClr val="bg1"/>
        </a:solidFill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3717</Words>
  <Characters>4032</Characters>
  <Lines>0</Lines>
  <Paragraphs>0</Paragraphs>
  <TotalTime>34</TotalTime>
  <ScaleCrop>false</ScaleCrop>
  <LinksUpToDate>false</LinksUpToDate>
  <CharactersWithSpaces>4041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2024-06-22T03:39:57Z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CD1008BC62D5415DA6FAF966D208594E_13</vt:lpwstr>
  </property>
</Properties>
</file>