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岳阳市君山区发展和改革局</w:t>
      </w:r>
    </w:p>
    <w:p>
      <w:pPr>
        <w:spacing w:line="570" w:lineRule="atLeast"/>
        <w:jc w:val="center"/>
        <w:rPr>
          <w:rFonts w:ascii="黑体" w:hAnsi="黑体" w:eastAsia="黑体" w:cs="黑体"/>
          <w:b/>
          <w:bCs/>
          <w:sz w:val="48"/>
          <w:szCs w:val="48"/>
        </w:rPr>
      </w:pPr>
      <w:r>
        <w:rPr>
          <w:rFonts w:hint="eastAsia" w:ascii="方正小标宋简体" w:hAnsi="方正小标宋简体" w:eastAsia="方正小标宋简体" w:cs="方正小标宋简体"/>
          <w:b/>
          <w:bCs/>
          <w:sz w:val="44"/>
          <w:szCs w:val="44"/>
        </w:rPr>
        <w:t>2024年部门预算公开</w:t>
      </w:r>
    </w:p>
    <w:p>
      <w:pPr>
        <w:jc w:val="cente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rPr>
          <w:rFonts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eastAsia="黑体" w:asciiTheme="minorEastAsia" w:hAnsi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asciiTheme="minorEastAsia" w:hAnsiTheme="minorEastAsia" w:cstheme="minorEastAsia"/>
          <w:b/>
          <w:bCs/>
          <w:sz w:val="28"/>
          <w:szCs w:val="28"/>
        </w:rPr>
      </w:pPr>
    </w:p>
    <w:p>
      <w:pPr>
        <w:jc w:val="center"/>
        <w:rPr>
          <w:rFonts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widowControl/>
        <w:spacing w:line="570" w:lineRule="atLeast"/>
        <w:ind w:firstLine="643" w:firstLineChars="200"/>
        <w:rPr>
          <w:rFonts w:ascii="Times New Roman" w:hAnsi="Times New Roman" w:eastAsia="黑体" w:cs="Times New Roman"/>
          <w:b/>
          <w:bCs/>
          <w:kern w:val="0"/>
          <w:sz w:val="32"/>
          <w:szCs w:val="32"/>
        </w:rPr>
      </w:pP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（一）职能职责</w:t>
      </w:r>
    </w:p>
    <w:p>
      <w:pPr>
        <w:widowControl/>
        <w:spacing w:line="480" w:lineRule="auto"/>
        <w:ind w:firstLine="480"/>
        <w:rPr>
          <w:rFonts w:eastAsia="仿宋_GB2312"/>
          <w:sz w:val="32"/>
          <w:szCs w:val="32"/>
        </w:rPr>
      </w:pPr>
      <w:r>
        <w:rPr>
          <w:rFonts w:hint="eastAsia" w:eastAsia="仿宋_GB2312"/>
          <w:sz w:val="32"/>
          <w:szCs w:val="32"/>
        </w:rPr>
        <w:t>1、</w:t>
      </w:r>
      <w:r>
        <w:rPr>
          <w:rFonts w:eastAsia="仿宋_GB2312"/>
          <w:sz w:val="32"/>
          <w:szCs w:val="32"/>
        </w:rPr>
        <w:t>拟订经济社会发展战略。拟订并组织实施全区国民经济和社会发展战略、中长期规划和年度计划;统筹协调经济社会发展，提出全区国民经济发展和优化重大经济结构的目标、政策，提出综合运用各种经济手段和政策的建议;受区人民政府委托向区人大提交国民经济和社会发展计划的报告。</w:t>
      </w:r>
    </w:p>
    <w:p>
      <w:pPr>
        <w:widowControl/>
        <w:spacing w:line="480" w:lineRule="auto"/>
        <w:ind w:firstLine="480"/>
        <w:rPr>
          <w:rFonts w:eastAsia="仿宋_GB2312"/>
          <w:sz w:val="32"/>
          <w:szCs w:val="32"/>
        </w:rPr>
      </w:pPr>
      <w:r>
        <w:rPr>
          <w:rFonts w:hint="eastAsia" w:eastAsia="仿宋_GB2312"/>
          <w:sz w:val="32"/>
          <w:szCs w:val="32"/>
        </w:rPr>
        <w:t>2、</w:t>
      </w:r>
      <w:r>
        <w:rPr>
          <w:rFonts w:eastAsia="仿宋_GB2312"/>
          <w:sz w:val="32"/>
          <w:szCs w:val="32"/>
        </w:rPr>
        <w:t>加强和改善宏观调控。研究分析国内外、省内外、市内外经济形势和发展情况，监测全区宏观经济和社会发展态势，承担预测预警和信息引导责任;研究全区宏观经济运行、总量平衡、经济安全和总体产业安全等重要问题并提出宏观调控政策建议;负责协调解决宏观经济运行中的重大问题。</w:t>
      </w:r>
    </w:p>
    <w:p>
      <w:pPr>
        <w:widowControl/>
        <w:spacing w:line="480" w:lineRule="auto"/>
        <w:ind w:firstLine="480"/>
        <w:rPr>
          <w:rFonts w:eastAsia="仿宋_GB2312"/>
          <w:sz w:val="32"/>
          <w:szCs w:val="32"/>
        </w:rPr>
      </w:pPr>
      <w:r>
        <w:rPr>
          <w:rFonts w:hint="eastAsia" w:eastAsia="仿宋_GB2312"/>
          <w:sz w:val="32"/>
          <w:szCs w:val="32"/>
        </w:rPr>
        <w:t>3、</w:t>
      </w:r>
      <w:r>
        <w:rPr>
          <w:rFonts w:eastAsia="仿宋_GB2312"/>
          <w:sz w:val="32"/>
          <w:szCs w:val="32"/>
        </w:rPr>
        <w:t>综合协调各项政策，推进经济体制改革。负责汇总分析财政等方面的情况，参与制定财政政策、金融政策并综合分析财政、金融政策的执行效果;拟订并组织实施产业政策，监督检查产业政策的执行;会同有关部门搞好专项经济体制改革之间的衔接;提出优化所有制结构和企业组织结构的建议，促进各种所有制企业的公平竞争和共同发展。</w:t>
      </w:r>
    </w:p>
    <w:p>
      <w:pPr>
        <w:widowControl/>
        <w:spacing w:line="480" w:lineRule="auto"/>
        <w:ind w:firstLine="480"/>
        <w:rPr>
          <w:rFonts w:eastAsia="仿宋_GB2312"/>
          <w:sz w:val="32"/>
          <w:szCs w:val="32"/>
        </w:rPr>
      </w:pPr>
      <w:r>
        <w:rPr>
          <w:rFonts w:hint="eastAsia" w:eastAsia="仿宋_GB2312"/>
          <w:sz w:val="32"/>
          <w:szCs w:val="32"/>
        </w:rPr>
        <w:t>4、</w:t>
      </w:r>
      <w:r>
        <w:rPr>
          <w:rFonts w:eastAsia="仿宋_GB2312"/>
          <w:sz w:val="32"/>
          <w:szCs w:val="32"/>
        </w:rPr>
        <w:t>引导和监管固定资产投资。承担规划全区重大建设项目和生产力布局的责任;拟订全区社会固定资产投资总规模和投资结构的调控目标、政策及措施，衔接平衡需要安排政府投资和涉及重大建设项目的专项规划;负责中央、省、市财政性建设资金项目的申报;按规定权限审批、核准、审核重大建设项目、重大外资项目、境外资源开发类重大投资项目和大额用汇投资项目;负责对区本级预算内投资项目和受国家、省、市委托对中央、省、市在区投资项目的概算审查;指导和监督国外贷款建设资金的使用，引导民间投资方向;研究提出全区利用外资和境外投资的战略、总量平衡和结构优化的目标和政策;研究提出中长期和年度区重点建设项目计划;指导和协调全区招标投标工作和政府投资项目的代建管理工作，会同有关部门组织和监督区本级政府投资项目代建制实施;负责全区重大项目库建设和重大项目前期工作;组织开展重大建设项目稽查。</w:t>
      </w:r>
    </w:p>
    <w:p>
      <w:pPr>
        <w:widowControl/>
        <w:spacing w:line="480" w:lineRule="auto"/>
        <w:ind w:firstLine="480"/>
        <w:rPr>
          <w:rFonts w:eastAsia="仿宋_GB2312"/>
          <w:sz w:val="32"/>
          <w:szCs w:val="32"/>
        </w:rPr>
      </w:pPr>
      <w:r>
        <w:rPr>
          <w:rFonts w:hint="eastAsia" w:eastAsia="仿宋_GB2312"/>
          <w:sz w:val="32"/>
          <w:szCs w:val="32"/>
        </w:rPr>
        <w:t>5、</w:t>
      </w:r>
      <w:r>
        <w:rPr>
          <w:rFonts w:eastAsia="仿宋_GB2312"/>
          <w:sz w:val="32"/>
          <w:szCs w:val="32"/>
        </w:rPr>
        <w:t>推进产业结构战略性调整和升级。组织拟订综合性产业政策，负责协调第一、二、三产业发展的重大问题并衔接平衡相关发展规划和重大决策;协调农业和农村经济社会发展的重大问题;研究提出新型工业化和产业集群发展的政策措施;会同有关部门拟订服务业发展战略和重大政策;牵头负责全区物流发展工作，拟订现代物流业发展战略、规划和政策，协调物流业发展重大布局;会同有关部门研究和拟订高新技术产业发展、产业技术进步的战略、规划和政策，实施高新技术产业发展的宏观指导，协调解决重大技术装备推广应用等方面的重大问题。</w:t>
      </w:r>
    </w:p>
    <w:p>
      <w:pPr>
        <w:widowControl/>
        <w:spacing w:line="480" w:lineRule="auto"/>
        <w:ind w:firstLine="480"/>
        <w:rPr>
          <w:rFonts w:eastAsia="仿宋_GB2312"/>
          <w:sz w:val="32"/>
          <w:szCs w:val="32"/>
        </w:rPr>
      </w:pPr>
      <w:r>
        <w:rPr>
          <w:rFonts w:hint="eastAsia" w:eastAsia="仿宋_GB2312"/>
          <w:sz w:val="32"/>
          <w:szCs w:val="32"/>
        </w:rPr>
        <w:t>6、</w:t>
      </w:r>
      <w:r>
        <w:rPr>
          <w:rFonts w:eastAsia="仿宋_GB2312"/>
          <w:sz w:val="32"/>
          <w:szCs w:val="32"/>
        </w:rPr>
        <w:t>促进区域协调发展。拟订并组织实施全区区域经济协调发展规划和主体功能区规划;制定工业园区发展规划和政策;拟订并组织实施全区以工代赈规划和计划;负责社会发展与国民经济发展的政策衔接;参与拟订人口和计划生育、科学技术、教育、文化、卫生、民政等发展政策;负责节能减排的监督管理工作;组织拟订发展循环经济、全区资源节约和综合利用规划及政策措施并协调实施;参与编制生态建设、环境保护规划，协调生态建设和资源节约综合利用的重大问题。</w:t>
      </w:r>
    </w:p>
    <w:p>
      <w:pPr>
        <w:widowControl/>
        <w:spacing w:line="480" w:lineRule="auto"/>
        <w:ind w:firstLine="480"/>
        <w:rPr>
          <w:rFonts w:eastAsia="仿宋_GB2312"/>
          <w:sz w:val="32"/>
          <w:szCs w:val="32"/>
        </w:rPr>
      </w:pPr>
      <w:r>
        <w:rPr>
          <w:rFonts w:hint="eastAsia" w:eastAsia="仿宋_GB2312"/>
          <w:sz w:val="32"/>
          <w:szCs w:val="32"/>
        </w:rPr>
        <w:t>7、</w:t>
      </w:r>
      <w:r>
        <w:rPr>
          <w:rFonts w:eastAsia="仿宋_GB2312"/>
          <w:sz w:val="32"/>
          <w:szCs w:val="32"/>
        </w:rPr>
        <w:t>组织编制全区国民经济动员和装备动员规划、计划，研究国民经济动员和装备动员与国民经济、国防建设的关系，协调相关重大问题，组织实施国民经济动员和装备动员有关工作。</w:t>
      </w:r>
    </w:p>
    <w:p>
      <w:pPr>
        <w:widowControl/>
        <w:spacing w:line="480" w:lineRule="auto"/>
        <w:ind w:firstLine="480"/>
        <w:rPr>
          <w:rFonts w:eastAsia="仿宋_GB2312"/>
          <w:sz w:val="32"/>
          <w:szCs w:val="32"/>
        </w:rPr>
      </w:pPr>
      <w:r>
        <w:rPr>
          <w:rFonts w:hint="eastAsia" w:eastAsia="仿宋_GB2312"/>
          <w:sz w:val="32"/>
          <w:szCs w:val="32"/>
        </w:rPr>
        <w:t>8、</w:t>
      </w:r>
      <w:r>
        <w:rPr>
          <w:rFonts w:eastAsia="仿宋_GB2312"/>
          <w:sz w:val="32"/>
          <w:szCs w:val="32"/>
        </w:rPr>
        <w:t>承担全区信用信息归集、整理、发布、使用、管理工作；承担全区公共信用信息平台建设和维护；承担公共管理和社会应用的信用信息服务。</w:t>
      </w:r>
    </w:p>
    <w:p>
      <w:pPr>
        <w:widowControl/>
        <w:spacing w:line="480" w:lineRule="auto"/>
        <w:ind w:firstLine="480"/>
        <w:rPr>
          <w:rFonts w:eastAsia="仿宋_GB2312"/>
          <w:sz w:val="32"/>
          <w:szCs w:val="32"/>
        </w:rPr>
      </w:pPr>
      <w:r>
        <w:rPr>
          <w:rFonts w:hint="eastAsia" w:eastAsia="仿宋_GB2312"/>
          <w:sz w:val="32"/>
          <w:szCs w:val="32"/>
        </w:rPr>
        <w:t>9、</w:t>
      </w:r>
      <w:r>
        <w:rPr>
          <w:rFonts w:eastAsia="仿宋_GB2312"/>
          <w:sz w:val="32"/>
          <w:szCs w:val="32"/>
        </w:rPr>
        <w:t>贯彻执行国家和省、市价格方针、政策和法律、法规，组织实施地方性规章;拟订全区价格政策和重大价格改革的方案，并负责组织实施;监测预测价格总水平变动，研究提出全区价格总水平调控目标和价格调控措施，并负责组织实施和综合平衡。</w:t>
      </w:r>
    </w:p>
    <w:p>
      <w:pPr>
        <w:widowControl/>
        <w:spacing w:line="480" w:lineRule="auto"/>
        <w:ind w:firstLine="480"/>
        <w:rPr>
          <w:rFonts w:eastAsia="仿宋_GB2312"/>
          <w:sz w:val="32"/>
          <w:szCs w:val="32"/>
        </w:rPr>
      </w:pPr>
      <w:r>
        <w:rPr>
          <w:rFonts w:hint="eastAsia" w:eastAsia="仿宋_GB2312"/>
          <w:sz w:val="32"/>
          <w:szCs w:val="32"/>
        </w:rPr>
        <w:t>10、</w:t>
      </w:r>
      <w:r>
        <w:rPr>
          <w:rFonts w:eastAsia="仿宋_GB2312"/>
          <w:sz w:val="32"/>
          <w:szCs w:val="32"/>
        </w:rPr>
        <w:t>依法组织实行政府指导价、政府定价的商品、服务价格以及行政事业性收费的成本费用的监审工作;负责价格成本调查工作;拟订区管商品价格和服务价格的定价目录和管理办法并组织实施;加强对国家、省、市列名管理的商品、服务价格的监管;会同财政部门审核授权管理的行政事业性收费项目和标准，审批属于政府指导价、政府定价的服务性收费项目和标准，规范中介组织的收费行为。</w:t>
      </w:r>
    </w:p>
    <w:p>
      <w:pPr>
        <w:widowControl/>
        <w:spacing w:line="480" w:lineRule="auto"/>
        <w:ind w:firstLine="480"/>
        <w:rPr>
          <w:rFonts w:eastAsia="仿宋_GB2312"/>
          <w:sz w:val="32"/>
          <w:szCs w:val="32"/>
        </w:rPr>
      </w:pPr>
      <w:r>
        <w:rPr>
          <w:rFonts w:hint="eastAsia" w:eastAsia="仿宋_GB2312"/>
          <w:sz w:val="32"/>
          <w:szCs w:val="32"/>
        </w:rPr>
        <w:t>11、</w:t>
      </w:r>
      <w:r>
        <w:rPr>
          <w:rFonts w:eastAsia="仿宋_GB2312"/>
          <w:sz w:val="32"/>
          <w:szCs w:val="32"/>
        </w:rPr>
        <w:t>管理行政机关和法律法规授权的组织依法强制使用或指定配套销售的商品和服务价格;依法对重大自然灾害和特殊时期实施临时价格干预措施;指导全区价格监督工作，组织实施价格监督检查，依法查处各类价格和收费中的违法行为和价格垄断行为;依法组织定价听证和价格专家论证;参与拟订有关税费改革、医药卫生体制改革等涉及价格和收费问题的重大改革方案。</w:t>
      </w:r>
    </w:p>
    <w:p>
      <w:pPr>
        <w:widowControl/>
        <w:spacing w:line="480" w:lineRule="auto"/>
        <w:ind w:firstLine="480"/>
        <w:rPr>
          <w:rFonts w:eastAsia="仿宋_GB2312"/>
          <w:sz w:val="32"/>
          <w:szCs w:val="32"/>
        </w:rPr>
      </w:pPr>
      <w:r>
        <w:rPr>
          <w:rFonts w:hint="eastAsia" w:eastAsia="仿宋_GB2312"/>
          <w:sz w:val="32"/>
          <w:szCs w:val="32"/>
        </w:rPr>
        <w:t>12、</w:t>
      </w:r>
      <w:r>
        <w:rPr>
          <w:rFonts w:eastAsia="仿宋_GB2312"/>
          <w:sz w:val="32"/>
          <w:szCs w:val="32"/>
        </w:rPr>
        <w:t>负责区内涉案、涉纪和行政执法活动中价格不明或价格争议标的物等价格认证工作;负责价格纠纷的调解工作;负责价格及收费协调衔接工作;负责价格公示、价格自律、价格诚信、价格信息等价格公共服务工作，推行明码标价。</w:t>
      </w:r>
    </w:p>
    <w:p>
      <w:pPr>
        <w:widowControl/>
        <w:spacing w:line="480" w:lineRule="auto"/>
        <w:ind w:firstLine="480"/>
        <w:rPr>
          <w:rFonts w:eastAsia="仿宋_GB2312"/>
          <w:sz w:val="32"/>
          <w:szCs w:val="32"/>
        </w:rPr>
      </w:pPr>
      <w:r>
        <w:rPr>
          <w:rFonts w:hint="eastAsia" w:eastAsia="仿宋_GB2312"/>
          <w:sz w:val="32"/>
          <w:szCs w:val="32"/>
        </w:rPr>
        <w:t>13、</w:t>
      </w:r>
      <w:r>
        <w:rPr>
          <w:rFonts w:eastAsia="仿宋_GB2312"/>
          <w:sz w:val="32"/>
          <w:szCs w:val="32"/>
        </w:rPr>
        <w:t>负责市场价格监测数据的采集、汇总、分析、上报和发布工作以及信息服务工作;负责调查和分析重要商品、服务价格以及相关成本与市场供求的变动情况，跟踪反馈国家重要经济政策在价格领域的反映;负责价格的预测、预警工作，撰写价格分析预测材料，向区委、区政府和上级价格主管部门、价格监测分析机构反映价格最新动态和政策建议;负责建立完善价格监测网络系统，强化价格信息的采集、处理、传输和网络建设，负责上报材料的编撰工作;负责区本级定点监测网点的日常管理工作;负责全区价格监测人员和监测点报价人员的业务培训;负责承办上级价格监测机构交办的事项。</w:t>
      </w:r>
    </w:p>
    <w:p>
      <w:pPr>
        <w:widowControl/>
        <w:spacing w:line="480" w:lineRule="auto"/>
        <w:ind w:firstLine="480"/>
        <w:rPr>
          <w:rFonts w:eastAsia="仿宋_GB2312"/>
          <w:sz w:val="32"/>
          <w:szCs w:val="32"/>
        </w:rPr>
      </w:pPr>
      <w:r>
        <w:rPr>
          <w:rFonts w:hint="eastAsia" w:eastAsia="仿宋_GB2312"/>
          <w:sz w:val="32"/>
          <w:szCs w:val="32"/>
        </w:rPr>
        <w:t>14、</w:t>
      </w:r>
      <w:r>
        <w:rPr>
          <w:rFonts w:eastAsia="仿宋_GB2312"/>
          <w:sz w:val="32"/>
          <w:szCs w:val="32"/>
        </w:rPr>
        <w:t>负责国防动员和人民防空相关工作。</w:t>
      </w:r>
    </w:p>
    <w:p>
      <w:pPr>
        <w:widowControl/>
        <w:spacing w:line="480" w:lineRule="auto"/>
        <w:ind w:firstLine="480"/>
        <w:rPr>
          <w:rFonts w:eastAsia="仿宋_GB2312"/>
          <w:sz w:val="32"/>
          <w:szCs w:val="32"/>
        </w:rPr>
      </w:pPr>
      <w:r>
        <w:rPr>
          <w:rFonts w:hint="eastAsia" w:eastAsia="仿宋_GB2312"/>
          <w:sz w:val="32"/>
          <w:szCs w:val="32"/>
        </w:rPr>
        <w:t>15、</w:t>
      </w:r>
      <w:r>
        <w:rPr>
          <w:rFonts w:eastAsia="仿宋_GB2312"/>
          <w:sz w:val="32"/>
          <w:szCs w:val="32"/>
        </w:rPr>
        <w:t>承办区委、区人民政府交办的其他事项。</w:t>
      </w:r>
    </w:p>
    <w:p>
      <w:p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widowControl/>
        <w:spacing w:line="570" w:lineRule="atLeast"/>
        <w:ind w:firstLine="640" w:firstLineChars="200"/>
        <w:rPr>
          <w:rFonts w:hint="eastAsia" w:eastAsia="仿宋_GB2312"/>
          <w:sz w:val="32"/>
          <w:szCs w:val="32"/>
        </w:rPr>
      </w:pPr>
      <w:r>
        <w:rPr>
          <w:rFonts w:hint="eastAsia" w:eastAsia="仿宋_GB2312"/>
          <w:sz w:val="32"/>
          <w:szCs w:val="32"/>
        </w:rPr>
        <w:t>局机关</w:t>
      </w:r>
      <w:r>
        <w:rPr>
          <w:rFonts w:eastAsia="仿宋_GB2312"/>
          <w:sz w:val="32"/>
          <w:szCs w:val="32"/>
        </w:rPr>
        <w:t>设</w:t>
      </w:r>
      <w:r>
        <w:rPr>
          <w:rFonts w:hint="eastAsia" w:eastAsia="仿宋_GB2312"/>
          <w:sz w:val="32"/>
          <w:szCs w:val="32"/>
        </w:rPr>
        <w:t>8</w:t>
      </w:r>
      <w:r>
        <w:rPr>
          <w:rFonts w:eastAsia="仿宋_GB2312"/>
          <w:sz w:val="32"/>
          <w:szCs w:val="32"/>
        </w:rPr>
        <w:t>个职能股（室）</w:t>
      </w:r>
      <w:r>
        <w:rPr>
          <w:rFonts w:hint="eastAsia" w:eastAsia="仿宋_GB2312"/>
          <w:sz w:val="32"/>
          <w:szCs w:val="32"/>
        </w:rPr>
        <w:t>：</w:t>
      </w:r>
      <w:r>
        <w:rPr>
          <w:rFonts w:eastAsia="仿宋_GB2312"/>
          <w:sz w:val="32"/>
          <w:szCs w:val="32"/>
        </w:rPr>
        <w:t>办公室、法规与稽查股(加挂区公共资源交易管理委员会办公室、区招标投标管理办公室、区招标投标监督管理委员会办公室)、综合股(加挂国民经济动员办公室和装备动员办公室)、投资股、审批股、长江经济带和洞庭湖发展办公室、价格和收费管理股(加挂君山区价格调节基金管理办公室、君山区价格监督检查所)、人民防空指挥通信股。我</w:t>
      </w:r>
      <w:r>
        <w:rPr>
          <w:rFonts w:hint="eastAsia" w:eastAsia="仿宋_GB2312"/>
          <w:sz w:val="32"/>
          <w:szCs w:val="32"/>
        </w:rPr>
        <w:t>局</w:t>
      </w:r>
      <w:r>
        <w:rPr>
          <w:rFonts w:eastAsia="仿宋_GB2312"/>
          <w:sz w:val="32"/>
          <w:szCs w:val="32"/>
        </w:rPr>
        <w:t>在职人员为</w:t>
      </w:r>
      <w:r>
        <w:rPr>
          <w:rFonts w:hint="eastAsia" w:eastAsia="仿宋_GB2312"/>
          <w:sz w:val="32"/>
          <w:szCs w:val="32"/>
        </w:rPr>
        <w:t>20</w:t>
      </w:r>
      <w:r>
        <w:rPr>
          <w:rFonts w:eastAsia="仿宋_GB2312"/>
          <w:sz w:val="32"/>
          <w:szCs w:val="32"/>
        </w:rPr>
        <w:t>人。</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二、部门预算单位构成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960" w:firstLineChars="300"/>
        <w:jc w:val="both"/>
        <w:textAlignment w:val="center"/>
        <w:rPr>
          <w:rFonts w:hint="eastAsia" w:asciiTheme="minorEastAsia" w:hAnsiTheme="minorEastAsia" w:eastAsiaTheme="minorEastAsia" w:cstheme="minorEastAsia"/>
          <w:i w:val="0"/>
          <w:iCs w:val="0"/>
          <w:caps w:val="0"/>
          <w:color w:val="auto"/>
          <w:spacing w:val="0"/>
          <w:sz w:val="28"/>
          <w:szCs w:val="28"/>
          <w:highlight w:val="none"/>
          <w:shd w:val="clear" w:fill="FFFFFF"/>
        </w:rPr>
      </w:pPr>
      <w:bookmarkStart w:id="0" w:name="DEPT_COMPOSE"/>
      <w:r>
        <w:rPr>
          <w:rFonts w:hint="eastAsia" w:ascii="仿宋_GB2312" w:hAnsi="仿宋_GB2312" w:eastAsia="仿宋_GB2312" w:cs="仿宋_GB2312"/>
          <w:color w:val="000000"/>
          <w:sz w:val="32"/>
          <w:szCs w:val="32"/>
          <w:shd w:val="clear" w:color="auto" w:fill="FFFFFF"/>
          <w:lang w:val="en-US" w:eastAsia="zh-CN"/>
        </w:rPr>
        <w:t>岳阳市君山区发展和改革局</w:t>
      </w:r>
      <w:r>
        <w:rPr>
          <w:rFonts w:hint="eastAsia" w:ascii="仿宋_GB2312" w:hAnsi="仿宋_GB2312" w:eastAsia="仿宋_GB2312" w:cs="仿宋_GB2312"/>
          <w:color w:val="auto"/>
          <w:kern w:val="2"/>
          <w:sz w:val="32"/>
          <w:szCs w:val="32"/>
          <w:highlight w:val="none"/>
          <w:shd w:val="clear" w:color="auto" w:fill="FFFFFF"/>
          <w:lang w:val="en-US" w:eastAsia="zh-CN" w:bidi="ar-SA"/>
        </w:rPr>
        <w:t>只有本级，没有其他二级预算单位，因此，纳入2024年部门预算编制范围的只有</w:t>
      </w:r>
      <w:r>
        <w:rPr>
          <w:rFonts w:hint="eastAsia" w:ascii="仿宋_GB2312" w:hAnsi="仿宋_GB2312" w:eastAsia="仿宋_GB2312" w:cs="仿宋_GB2312"/>
          <w:color w:val="000000"/>
          <w:sz w:val="32"/>
          <w:szCs w:val="32"/>
          <w:shd w:val="clear" w:color="auto" w:fill="FFFFFF"/>
          <w:lang w:val="en-US" w:eastAsia="zh-CN"/>
        </w:rPr>
        <w:t>岳阳市君山区发展和改革局</w:t>
      </w:r>
      <w:r>
        <w:rPr>
          <w:rFonts w:hint="eastAsia" w:ascii="仿宋_GB2312" w:hAnsi="仿宋_GB2312" w:eastAsia="仿宋_GB2312" w:cs="仿宋_GB2312"/>
          <w:color w:val="auto"/>
          <w:kern w:val="2"/>
          <w:sz w:val="32"/>
          <w:szCs w:val="32"/>
          <w:highlight w:val="none"/>
          <w:shd w:val="clear" w:color="auto" w:fill="FFFFFF"/>
          <w:lang w:val="en-US" w:eastAsia="zh-CN" w:bidi="ar-SA"/>
        </w:rPr>
        <w:t>本级。</w:t>
      </w:r>
      <w:bookmarkEnd w:id="0"/>
    </w:p>
    <w:p>
      <w:pPr>
        <w:widowControl/>
        <w:numPr>
          <w:ilvl w:val="0"/>
          <w:numId w:val="1"/>
        </w:numPr>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部门收支总体情况</w:t>
      </w:r>
    </w:p>
    <w:p>
      <w:pPr>
        <w:widowControl/>
        <w:numPr>
          <w:numId w:val="0"/>
        </w:numPr>
        <w:spacing w:line="570" w:lineRule="atLeast"/>
        <w:ind w:firstLine="640" w:firstLineChars="200"/>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本部门2024年没有政府性基金预算拨款、国有资本经营预算收入和纳入专户管理的非税收入拨款收入，也没有使用政府性基金预算拨款、国有资本经营预算收入和纳入专户管理的非税收入拨款安排的支出，所以公开的附件15、16、17、18、19表均为空。</w:t>
      </w:r>
    </w:p>
    <w:p>
      <w:pPr>
        <w:pStyle w:val="6"/>
        <w:widowControl/>
        <w:numPr>
          <w:ilvl w:val="0"/>
          <w:numId w:val="2"/>
        </w:numPr>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Times New Roman" w:hAnsi="Times New Roman" w:eastAsia="仿宋_GB2312"/>
          <w:b/>
          <w:kern w:val="2"/>
          <w:sz w:val="32"/>
          <w:szCs w:val="32"/>
        </w:rPr>
        <w:t>收入预算：</w:t>
      </w:r>
      <w:r>
        <w:rPr>
          <w:rFonts w:hint="eastAsia" w:ascii="仿宋_GB2312" w:hAnsi="仿宋_GB2312" w:eastAsia="仿宋_GB2312" w:cs="仿宋_GB2312"/>
          <w:color w:val="000000"/>
          <w:kern w:val="2"/>
          <w:sz w:val="32"/>
          <w:szCs w:val="32"/>
          <w:shd w:val="clear" w:color="auto" w:fill="FFFFFF"/>
        </w:rPr>
        <w:t>包括一般公共预算、政府性基金、国有资本经营预算等财政拨款收入，以及经营收入、事业收入等单位资金。2024年本部门收入预算627.34万元，其中，一般公共预算拨款627.34万元，政府性基金预算资金0.00万元(所以公开的附件15-17表为空)，国有资本经营预算资金0.00万元(所以公开的附件18表为空)，财政专户管理资金0.00万元(所以公开的附件19表为空)，上级补助收入资金0.00万元，事业单位经营收入资金0.00万元，上年结转结余0.00万元。收入较上年减少142.62万元，下降18.52%。主要原因是2024年有4名工作人员调动及项目减少，从而导致工资福利收入、商品服务收入、项目收入减少。</w:t>
      </w:r>
    </w:p>
    <w:p>
      <w:pPr>
        <w:pStyle w:val="6"/>
        <w:widowControl/>
        <w:spacing w:beforeAutospacing="0" w:afterAutospacing="0" w:line="22" w:lineRule="atLeast"/>
        <w:ind w:left="420" w:leftChars="200"/>
        <w:jc w:val="both"/>
        <w:textAlignment w:val="center"/>
        <w:rPr>
          <w:rFonts w:ascii="仿宋_GB2312" w:hAnsi="仿宋_GB2312" w:eastAsia="仿宋_GB2312" w:cs="仿宋_GB2312"/>
          <w:color w:val="000000"/>
          <w:kern w:val="2"/>
          <w:sz w:val="32"/>
          <w:szCs w:val="32"/>
          <w:shd w:val="clear" w:color="auto" w:fill="FFFFFF"/>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6"/>
        <w:widowControl/>
        <w:numPr>
          <w:ilvl w:val="0"/>
          <w:numId w:val="3"/>
        </w:numPr>
        <w:spacing w:beforeAutospacing="0" w:afterAutospacing="0" w:line="22" w:lineRule="atLeast"/>
        <w:ind w:firstLine="640"/>
        <w:jc w:val="both"/>
        <w:textAlignment w:val="center"/>
        <w:rPr>
          <w:rFonts w:ascii="仿宋_GB2312" w:hAnsi="仿宋_GB2312" w:eastAsia="仿宋_GB2312" w:cs="仿宋_GB2312"/>
          <w:color w:val="000000"/>
          <w:kern w:val="2"/>
          <w:sz w:val="32"/>
          <w:szCs w:val="32"/>
          <w:shd w:val="clear" w:color="auto" w:fill="FFFFFF"/>
        </w:rPr>
      </w:pPr>
      <w:r>
        <w:rPr>
          <w:rFonts w:hint="eastAsia" w:ascii="Times New Roman" w:hAnsi="Times New Roman" w:eastAsia="仿宋_GB2312"/>
          <w:b/>
          <w:kern w:val="2"/>
          <w:sz w:val="32"/>
          <w:szCs w:val="32"/>
        </w:rPr>
        <w:t>支出预算：</w:t>
      </w:r>
      <w:r>
        <w:rPr>
          <w:rFonts w:hint="eastAsia" w:ascii="仿宋_GB2312" w:hAnsi="仿宋_GB2312" w:eastAsia="仿宋_GB2312" w:cs="仿宋_GB2312"/>
          <w:color w:val="000000"/>
          <w:kern w:val="2"/>
          <w:sz w:val="32"/>
          <w:szCs w:val="32"/>
          <w:shd w:val="clear" w:color="auto" w:fill="FFFFFF"/>
        </w:rPr>
        <w:t>2024年本部门支出预算627.34万元，其中：一般公共服务支出219.44，社会保障和就业支出31.92万元，卫生健康支出9.78万元，节能环保支出350万元，住房保障支出16</w:t>
      </w:r>
      <w:bookmarkStart w:id="5" w:name="_GoBack"/>
      <w:bookmarkEnd w:id="5"/>
      <w:r>
        <w:rPr>
          <w:rFonts w:hint="eastAsia" w:ascii="仿宋_GB2312" w:hAnsi="仿宋_GB2312" w:eastAsia="仿宋_GB2312" w:cs="仿宋_GB2312"/>
          <w:color w:val="000000"/>
          <w:kern w:val="2"/>
          <w:sz w:val="32"/>
          <w:szCs w:val="32"/>
          <w:shd w:val="clear" w:color="auto" w:fill="FFFFFF"/>
        </w:rPr>
        <w:t>.2万元。支出较上年减少142.62万元，下降18.52%。主要原因是2024年有4名工作人员调动及项目减少，从而导致工资福利支出、商品服务支出、项目支出减少。</w:t>
      </w:r>
    </w:p>
    <w:p>
      <w:pPr>
        <w:pStyle w:val="6"/>
        <w:widowControl/>
        <w:spacing w:beforeAutospacing="0" w:afterAutospacing="0" w:line="22" w:lineRule="atLeast"/>
        <w:jc w:val="both"/>
        <w:textAlignment w:val="center"/>
        <w:rPr>
          <w:rFonts w:ascii="仿宋_GB2312" w:hAnsi="仿宋_GB2312" w:eastAsia="仿宋_GB2312" w:cs="仿宋_GB2312"/>
          <w:color w:val="000000"/>
          <w:kern w:val="2"/>
          <w:sz w:val="32"/>
          <w:szCs w:val="32"/>
          <w:shd w:val="clear" w:color="auto" w:fill="FFFFFF"/>
        </w:rPr>
      </w:pPr>
      <w:r>
        <w:rPr>
          <w:rFonts w:hint="eastAsia"/>
          <w:lang w:val="en-US" w:eastAsia="zh-CN"/>
        </w:rPr>
        <w:t xml:space="preserve">      </w:t>
      </w:r>
      <w:r>
        <w:drawing>
          <wp:inline distT="0" distB="0" distL="114300" distR="114300">
            <wp:extent cx="4596765" cy="3001010"/>
            <wp:effectExtent l="4445" t="4445" r="8890" b="23495"/>
            <wp:docPr id="2" name="图表 1" descr="7b0a202020202263686172745265734964223a20223230343735353931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2024年本部门一般公共预算拨款支出627.34万元，其中：一般公共服务支出219.44，占34.98%；社会保障和就业支出31.92万元，占5.09%；卫生健康支出9.78万元，占1.56%；节能环保支出350万元，占55.</w:t>
      </w:r>
      <w:r>
        <w:rPr>
          <w:rFonts w:hint="eastAsia" w:ascii="仿宋_GB2312" w:hAnsi="仿宋_GB2312" w:eastAsia="仿宋_GB2312" w:cs="仿宋_GB2312"/>
          <w:color w:val="000000"/>
          <w:kern w:val="2"/>
          <w:sz w:val="32"/>
          <w:szCs w:val="32"/>
          <w:shd w:val="clear" w:color="auto" w:fill="FFFFFF"/>
          <w:lang w:val="en-US" w:eastAsia="zh-CN"/>
        </w:rPr>
        <w:t>79</w:t>
      </w:r>
      <w:r>
        <w:rPr>
          <w:rFonts w:hint="eastAsia" w:ascii="仿宋_GB2312" w:hAnsi="仿宋_GB2312" w:eastAsia="仿宋_GB2312" w:cs="仿宋_GB2312"/>
          <w:color w:val="000000"/>
          <w:kern w:val="2"/>
          <w:sz w:val="32"/>
          <w:szCs w:val="32"/>
          <w:shd w:val="clear" w:color="auto" w:fill="FFFFFF"/>
        </w:rPr>
        <w:t>%；住房保障支出16.2万元，占2.58%。具体安排情况如下：</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Times New Roman" w:hAnsi="Times New Roman" w:eastAsia="仿宋_GB2312"/>
          <w:b/>
          <w:sz w:val="32"/>
          <w:szCs w:val="32"/>
        </w:rPr>
        <w:t>（一）基本支出：</w:t>
      </w:r>
      <w:r>
        <w:rPr>
          <w:rFonts w:hint="eastAsia" w:ascii="仿宋_GB2312" w:hAnsi="仿宋_GB2312" w:eastAsia="仿宋_GB2312" w:cs="仿宋_GB2312"/>
          <w:color w:val="000000"/>
          <w:kern w:val="2"/>
          <w:sz w:val="32"/>
          <w:szCs w:val="32"/>
          <w:shd w:val="clear" w:color="auto" w:fill="FFFFFF"/>
        </w:rPr>
        <w:t>2024年本部门基本支出预算数216.54万元，主要是为保障部门正常运转、完成日常工作任务而发生的各项支出，包括用于基本工资、津贴补贴等人员经费以及办公费、印刷费、水电费、办公设备购置等公用经费。</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（二）项目支出：</w:t>
      </w:r>
      <w:r>
        <w:rPr>
          <w:rFonts w:hint="eastAsia" w:ascii="仿宋_GB2312" w:hAnsi="仿宋_GB2312" w:eastAsia="仿宋_GB2312" w:cs="仿宋_GB2312"/>
          <w:color w:val="000000"/>
          <w:kern w:val="2"/>
          <w:sz w:val="32"/>
          <w:szCs w:val="32"/>
          <w:shd w:val="clear" w:color="auto" w:fill="FFFFFF"/>
        </w:rPr>
        <w:t>2024年本部门项目支出预算410.8万元，主要是部门为完成特定行政工作任务或事业发展目标而发生的支出，包括</w:t>
      </w:r>
      <w:r>
        <w:rPr>
          <w:rFonts w:ascii="仿宋_GB2312" w:hAnsi="仿宋_GB2312" w:eastAsia="仿宋_GB2312" w:cs="仿宋_GB2312"/>
          <w:color w:val="000000"/>
          <w:kern w:val="2"/>
          <w:sz w:val="32"/>
          <w:szCs w:val="32"/>
          <w:shd w:val="clear" w:color="auto" w:fill="FFFFFF"/>
        </w:rPr>
        <w:t>包括</w:t>
      </w:r>
      <w:r>
        <w:rPr>
          <w:rFonts w:hint="eastAsia" w:ascii="仿宋_GB2312" w:hAnsi="仿宋_GB2312" w:eastAsia="仿宋_GB2312" w:cs="仿宋_GB2312"/>
          <w:color w:val="000000"/>
          <w:kern w:val="2"/>
          <w:sz w:val="32"/>
          <w:szCs w:val="32"/>
          <w:shd w:val="clear" w:color="auto" w:fill="FFFFFF"/>
        </w:rPr>
        <w:t>业务工作经费支出、运行维护经费</w:t>
      </w:r>
      <w:r>
        <w:rPr>
          <w:rFonts w:ascii="仿宋_GB2312" w:hAnsi="仿宋_GB2312" w:eastAsia="仿宋_GB2312" w:cs="仿宋_GB2312"/>
          <w:color w:val="000000"/>
          <w:kern w:val="2"/>
          <w:sz w:val="32"/>
          <w:szCs w:val="32"/>
          <w:shd w:val="clear" w:color="auto" w:fill="FFFFFF"/>
        </w:rPr>
        <w:t>等</w:t>
      </w:r>
      <w:r>
        <w:rPr>
          <w:rFonts w:hint="eastAsia" w:ascii="仿宋_GB2312" w:hAnsi="仿宋_GB2312" w:eastAsia="仿宋_GB2312" w:cs="仿宋_GB2312"/>
          <w:color w:val="000000"/>
          <w:kern w:val="2"/>
          <w:sz w:val="32"/>
          <w:szCs w:val="32"/>
          <w:shd w:val="clear" w:color="auto" w:fill="FFFFFF"/>
        </w:rPr>
        <w:t>，</w:t>
      </w:r>
      <w:r>
        <w:rPr>
          <w:rFonts w:hint="eastAsia" w:ascii="仿宋_GB2312" w:hAnsi="仿宋_GB2312" w:eastAsia="仿宋_GB2312" w:cs="仿宋_GB2312"/>
          <w:color w:val="000000"/>
          <w:kern w:val="2"/>
          <w:sz w:val="32"/>
          <w:szCs w:val="32"/>
          <w:shd w:val="clear" w:color="auto" w:fill="FFFFFF"/>
          <w:lang w:val="en-US" w:eastAsia="zh-CN"/>
        </w:rPr>
        <w:t>其中：</w:t>
      </w:r>
      <w:r>
        <w:rPr>
          <w:rFonts w:hint="eastAsia" w:ascii="仿宋_GB2312" w:hAnsi="仿宋_GB2312" w:eastAsia="仿宋_GB2312" w:cs="仿宋_GB2312"/>
          <w:color w:val="000000"/>
          <w:kern w:val="2"/>
          <w:sz w:val="32"/>
          <w:szCs w:val="32"/>
          <w:shd w:val="clear" w:color="auto" w:fill="FFFFFF"/>
        </w:rPr>
        <w:t>一般公共服务支出60.8万元，主要用于信用信息平台及在线审批平台运用维护、节能监察、公开招标、重大项目调度、价格鉴定、价格监测、价费公示等方面；节能环保支出</w:t>
      </w:r>
      <w:r>
        <w:rPr>
          <w:rFonts w:hint="eastAsia" w:ascii="仿宋_GB2312" w:hAnsi="仿宋_GB2312" w:eastAsia="仿宋_GB2312" w:cs="仿宋_GB2312"/>
          <w:color w:val="000000"/>
          <w:kern w:val="2"/>
          <w:sz w:val="32"/>
          <w:szCs w:val="32"/>
          <w:shd w:val="clear" w:color="auto" w:fill="FFFFFF"/>
          <w:lang w:val="en-US" w:eastAsia="zh-CN"/>
        </w:rPr>
        <w:t>350万元，主要内容为</w:t>
      </w:r>
      <w:r>
        <w:rPr>
          <w:rFonts w:hint="eastAsia" w:ascii="仿宋_GB2312" w:hAnsi="仿宋_GB2312" w:eastAsia="仿宋_GB2312" w:cs="仿宋_GB2312"/>
          <w:color w:val="000000"/>
          <w:kern w:val="2"/>
          <w:sz w:val="32"/>
          <w:szCs w:val="32"/>
          <w:shd w:val="clear" w:color="auto" w:fill="FFFFFF"/>
        </w:rPr>
        <w:t>项目前期工作经费290万元，主要用于项目储备、申报、对接联络等方面工作；构建和谐江湖关系专项经费60万元，主要用于聘请第三方机构，开展专题调研，组织专家和部门座谈，形成构建和谐江湖关系实施方案及重大项目编制工作。</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2024年度本部门无政府性基金安排的支出，所以公开的附件15-17表（政府性基金预算）为空。</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（一）机关运行经费：</w:t>
      </w:r>
      <w:r>
        <w:rPr>
          <w:rFonts w:hint="eastAsia" w:ascii="仿宋_GB2312" w:hAnsi="仿宋_GB2312" w:eastAsia="仿宋_GB2312" w:cs="仿宋_GB2312"/>
          <w:color w:val="000000"/>
          <w:kern w:val="2"/>
          <w:sz w:val="32"/>
          <w:szCs w:val="32"/>
          <w:shd w:val="clear" w:color="auto" w:fill="FFFFFF"/>
        </w:rPr>
        <w:t>2024年君山区发改局部门机关运行经费23.64万元，比上年预算下降1.5%。主要原因是2024年有人员调动，造成公用经费预算减少。</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（二）“三公”经费预算：</w:t>
      </w:r>
      <w:r>
        <w:rPr>
          <w:rFonts w:hint="eastAsia" w:ascii="仿宋_GB2312" w:hAnsi="仿宋_GB2312" w:eastAsia="仿宋_GB2312" w:cs="仿宋_GB2312"/>
          <w:color w:val="000000"/>
          <w:kern w:val="2"/>
          <w:sz w:val="32"/>
          <w:szCs w:val="32"/>
          <w:shd w:val="clear" w:color="auto" w:fill="FFFFFF"/>
        </w:rPr>
        <w:t>2024年本部门“三公”经费预算数为1.92万元，其中，公务接待费1.92万元，公务用车购置及运行费0万元（其中，公务用车购置费0万元，公务用车运行费0万元），因公出国（境）费0万元。2024年“三公”经费预算较2023年减少0.48万元，主要原因是严格落实中央“八项规定”精神和“过紧日子”的要求，从严控制“三公”经费支出。</w:t>
      </w:r>
      <w:bookmarkStart w:id="1" w:name="END_IS_ZERO_06_1"/>
      <w:bookmarkEnd w:id="1"/>
      <w:bookmarkStart w:id="2" w:name="START_IS_ZERO_06_2"/>
      <w:bookmarkEnd w:id="2"/>
      <w:bookmarkStart w:id="3" w:name="DIS_MARK_IS_ZERO_06_2"/>
      <w:bookmarkEnd w:id="3"/>
      <w:bookmarkStart w:id="4" w:name="END_IS_ZERO_06_2"/>
      <w:bookmarkEnd w:id="4"/>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（三）一般性支出情况：</w:t>
      </w:r>
      <w:r>
        <w:rPr>
          <w:rFonts w:hint="eastAsia" w:ascii="仿宋_GB2312" w:hAnsi="仿宋_GB2312" w:eastAsia="仿宋_GB2312" w:cs="仿宋_GB2312"/>
          <w:color w:val="000000"/>
          <w:kern w:val="2"/>
          <w:sz w:val="32"/>
          <w:szCs w:val="32"/>
          <w:shd w:val="clear" w:color="auto" w:fill="FFFFFF"/>
        </w:rPr>
        <w:t>2024年本部门会议费预算0万元，拟召开0次会议，人数0人；培训费预算0万元，拟开展0次培训，人数0人；2024年度本部门未计划举办节庆、晚会、论坛、赛事活动。</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（四）政府采购情况：</w:t>
      </w:r>
      <w:r>
        <w:rPr>
          <w:rFonts w:hint="eastAsia" w:ascii="仿宋_GB2312" w:hAnsi="仿宋_GB2312" w:eastAsia="仿宋_GB2312" w:cs="仿宋_GB2312"/>
          <w:color w:val="000000"/>
          <w:kern w:val="2"/>
          <w:sz w:val="32"/>
          <w:szCs w:val="32"/>
          <w:shd w:val="clear" w:color="auto" w:fill="FFFFFF"/>
        </w:rPr>
        <w:t>2024年本部门政府采购预算总额310.6万元，其中，货物类采购预算38.6万元；工程类采购预算0万元；服务类采购预算272万元。</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（五）国有资产占用使用及新增资产配置情况：</w:t>
      </w:r>
      <w:r>
        <w:rPr>
          <w:rFonts w:hint="eastAsia" w:ascii="仿宋_GB2312" w:hAnsi="仿宋_GB2312" w:eastAsia="仿宋_GB2312" w:cs="仿宋_GB2312"/>
          <w:color w:val="000000"/>
          <w:kern w:val="2"/>
          <w:sz w:val="32"/>
          <w:szCs w:val="32"/>
          <w:shd w:val="clear" w:color="auto" w:fill="FFFFFF"/>
        </w:rPr>
        <w:t>截至2023年12月底，本部门共有公务用车0辆，其中，机要通信用车0辆，应急保障用车0辆，执法执勤用车0辆，特种专业技术用车0辆，其他按照规定配备的公务用车0辆；单位价值50万元以上设备0台，其中，单位价值100万元以上设备0台。</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2024年拟新增配置公务用车0辆，其中，机要通信用车0辆，应急保障用车0辆，执法执勤用车0辆，特种专业技术用车0辆，其他按照规定配备的公务用车0辆；新增配备单位价值50万元以上设备0台，其中，单位价值100万元以上设备0台。</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（六）预算绩效目标说明：</w:t>
      </w:r>
      <w:r>
        <w:rPr>
          <w:rFonts w:hint="eastAsia" w:ascii="仿宋_GB2312" w:hAnsi="仿宋_GB2312" w:eastAsia="仿宋_GB2312" w:cs="仿宋_GB2312"/>
          <w:color w:val="000000"/>
          <w:kern w:val="2"/>
          <w:sz w:val="32"/>
          <w:szCs w:val="32"/>
          <w:shd w:val="clear" w:color="auto" w:fill="FFFFFF"/>
        </w:rPr>
        <w:t>本部门所有支出实行绩效目标管理。纳入2024年部门整体支出绩效目标的金额为627.34万元，其中，基本支出216.54万元，项目支出410.8万元，具体绩效目标详见文尾附表中部门预算公开表格的表21-22。</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1．机关运行经费：</w:t>
      </w:r>
      <w:r>
        <w:rPr>
          <w:rFonts w:hint="eastAsia" w:ascii="仿宋_GB2312" w:hAnsi="仿宋_GB2312" w:eastAsia="仿宋_GB2312" w:cs="仿宋_GB2312"/>
          <w:color w:val="000000"/>
          <w:kern w:val="2"/>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2．“三公”经费：</w:t>
      </w:r>
      <w:r>
        <w:rPr>
          <w:rFonts w:hint="eastAsia" w:ascii="仿宋_GB2312" w:hAnsi="仿宋_GB2312" w:eastAsia="仿宋_GB2312" w:cs="仿宋_GB2312"/>
          <w:color w:val="000000"/>
          <w:kern w:val="2"/>
          <w:sz w:val="32"/>
          <w:szCs w:val="32"/>
          <w:shd w:val="clear" w:color="auto" w:fill="FFFFFF"/>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r>
        <w:rPr>
          <w:rFonts w:hint="eastAsia" w:ascii="方正小标宋简体" w:hAnsi="Times New Roman" w:eastAsia="方正小标宋简体" w:cs="Times New Roman"/>
          <w:b/>
          <w:bCs/>
          <w:kern w:val="0"/>
          <w:sz w:val="36"/>
          <w:szCs w:val="36"/>
        </w:rPr>
        <w:t>第二部分  2024年部门预算公开表格</w:t>
      </w:r>
    </w:p>
    <w:p>
      <w:pPr>
        <w:spacing w:line="570" w:lineRule="atLeast"/>
        <w:ind w:firstLine="640" w:firstLineChars="200"/>
        <w:rPr>
          <w:rFonts w:ascii="仿宋_GB2312" w:hAnsi="仿宋_GB2312" w:eastAsia="仿宋_GB2312" w:cs="仿宋_GB2312"/>
          <w:color w:val="000000"/>
          <w:sz w:val="32"/>
          <w:szCs w:val="32"/>
          <w:shd w:val="clear" w:color="auto" w:fill="FFFFFF"/>
        </w:rPr>
      </w:pP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p>
    <w:p>
      <w:pPr>
        <w:pStyle w:val="6"/>
        <w:widowControl/>
        <w:spacing w:beforeAutospacing="0" w:afterAutospacing="0" w:line="22" w:lineRule="atLeast"/>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附件：岳阳市君山区发展和改革局2024年部门预算公开表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47512A"/>
    <w:multiLevelType w:val="singleLevel"/>
    <w:tmpl w:val="8747512A"/>
    <w:lvl w:ilvl="0" w:tentative="0">
      <w:start w:val="3"/>
      <w:numFmt w:val="chineseCounting"/>
      <w:suff w:val="nothing"/>
      <w:lvlText w:val="%1、"/>
      <w:lvlJc w:val="left"/>
      <w:rPr>
        <w:rFonts w:hint="eastAsia"/>
      </w:rPr>
    </w:lvl>
  </w:abstractNum>
  <w:abstractNum w:abstractNumId="1">
    <w:nsid w:val="511038EA"/>
    <w:multiLevelType w:val="singleLevel"/>
    <w:tmpl w:val="511038EA"/>
    <w:lvl w:ilvl="0" w:tentative="0">
      <w:start w:val="1"/>
      <w:numFmt w:val="chineseCounting"/>
      <w:suff w:val="nothing"/>
      <w:lvlText w:val="（%1）"/>
      <w:lvlJc w:val="left"/>
      <w:rPr>
        <w:rFonts w:hint="eastAsia"/>
      </w:rPr>
    </w:lvl>
  </w:abstractNum>
  <w:abstractNum w:abstractNumId="2">
    <w:nsid w:val="6A0F09A1"/>
    <w:multiLevelType w:val="singleLevel"/>
    <w:tmpl w:val="6A0F09A1"/>
    <w:lvl w:ilvl="0" w:tentative="0">
      <w:start w:val="1"/>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jk0MzkxYTllNGUzYWMwZmMyNjFiNTViYzNiYzdlYTAifQ=="/>
  </w:docVars>
  <w:rsids>
    <w:rsidRoot w:val="637274E6"/>
    <w:rsid w:val="000B3A78"/>
    <w:rsid w:val="001A5402"/>
    <w:rsid w:val="00357BEE"/>
    <w:rsid w:val="0041427D"/>
    <w:rsid w:val="00785AED"/>
    <w:rsid w:val="0080153F"/>
    <w:rsid w:val="00857C69"/>
    <w:rsid w:val="009C3AF9"/>
    <w:rsid w:val="00AC2F7F"/>
    <w:rsid w:val="00C05440"/>
    <w:rsid w:val="00C40507"/>
    <w:rsid w:val="00CF0990"/>
    <w:rsid w:val="00FA19D1"/>
    <w:rsid w:val="02412BCB"/>
    <w:rsid w:val="02FA7BB8"/>
    <w:rsid w:val="03631DE8"/>
    <w:rsid w:val="05DE428D"/>
    <w:rsid w:val="05ED25F6"/>
    <w:rsid w:val="079242AE"/>
    <w:rsid w:val="085D0C84"/>
    <w:rsid w:val="0992531D"/>
    <w:rsid w:val="0A0D382D"/>
    <w:rsid w:val="0D2835D5"/>
    <w:rsid w:val="0ED939EE"/>
    <w:rsid w:val="0EEE5135"/>
    <w:rsid w:val="13385187"/>
    <w:rsid w:val="144178C3"/>
    <w:rsid w:val="167C1082"/>
    <w:rsid w:val="168E55F8"/>
    <w:rsid w:val="16B94831"/>
    <w:rsid w:val="18844C6D"/>
    <w:rsid w:val="1C744CBF"/>
    <w:rsid w:val="1CD25B13"/>
    <w:rsid w:val="1D6E31FC"/>
    <w:rsid w:val="1D85581C"/>
    <w:rsid w:val="1FD800E8"/>
    <w:rsid w:val="200307FA"/>
    <w:rsid w:val="20A420AE"/>
    <w:rsid w:val="22DF4F83"/>
    <w:rsid w:val="230C7214"/>
    <w:rsid w:val="24302B07"/>
    <w:rsid w:val="243D1BD3"/>
    <w:rsid w:val="256B3D61"/>
    <w:rsid w:val="264178B0"/>
    <w:rsid w:val="26962633"/>
    <w:rsid w:val="26E130FE"/>
    <w:rsid w:val="29C372D4"/>
    <w:rsid w:val="29EC6874"/>
    <w:rsid w:val="2A351017"/>
    <w:rsid w:val="2D6329A9"/>
    <w:rsid w:val="2DA53533"/>
    <w:rsid w:val="305B1762"/>
    <w:rsid w:val="305C2E10"/>
    <w:rsid w:val="3085088F"/>
    <w:rsid w:val="31A800DF"/>
    <w:rsid w:val="324A2389"/>
    <w:rsid w:val="32865768"/>
    <w:rsid w:val="328F1D91"/>
    <w:rsid w:val="32C66482"/>
    <w:rsid w:val="34521626"/>
    <w:rsid w:val="35683252"/>
    <w:rsid w:val="36BE748E"/>
    <w:rsid w:val="36CB7059"/>
    <w:rsid w:val="38E3475C"/>
    <w:rsid w:val="3951638D"/>
    <w:rsid w:val="3A242018"/>
    <w:rsid w:val="43666CD0"/>
    <w:rsid w:val="472973EE"/>
    <w:rsid w:val="477C3FDA"/>
    <w:rsid w:val="47E411CF"/>
    <w:rsid w:val="490966A2"/>
    <w:rsid w:val="496F41C2"/>
    <w:rsid w:val="4A78437F"/>
    <w:rsid w:val="4AD36F68"/>
    <w:rsid w:val="4B5D43D7"/>
    <w:rsid w:val="4BC03402"/>
    <w:rsid w:val="4DBF1A26"/>
    <w:rsid w:val="4EC2028E"/>
    <w:rsid w:val="4EE728E7"/>
    <w:rsid w:val="50447689"/>
    <w:rsid w:val="51B004D2"/>
    <w:rsid w:val="52A91D7A"/>
    <w:rsid w:val="54A70CC5"/>
    <w:rsid w:val="56301712"/>
    <w:rsid w:val="5681523A"/>
    <w:rsid w:val="576A0C54"/>
    <w:rsid w:val="5A1535D7"/>
    <w:rsid w:val="5A380B96"/>
    <w:rsid w:val="5D7F32CE"/>
    <w:rsid w:val="5F3F29C6"/>
    <w:rsid w:val="60884CBD"/>
    <w:rsid w:val="60B230E1"/>
    <w:rsid w:val="636D1293"/>
    <w:rsid w:val="637274E6"/>
    <w:rsid w:val="63894210"/>
    <w:rsid w:val="662F72F1"/>
    <w:rsid w:val="66B263EF"/>
    <w:rsid w:val="69175946"/>
    <w:rsid w:val="6B49147A"/>
    <w:rsid w:val="6C0749A4"/>
    <w:rsid w:val="6C1B6290"/>
    <w:rsid w:val="6C5E2742"/>
    <w:rsid w:val="6CB542C8"/>
    <w:rsid w:val="6CC62031"/>
    <w:rsid w:val="7076663E"/>
    <w:rsid w:val="70AE175A"/>
    <w:rsid w:val="70F92319"/>
    <w:rsid w:val="728C4B01"/>
    <w:rsid w:val="729A1F96"/>
    <w:rsid w:val="739C7F8F"/>
    <w:rsid w:val="73BE1EBD"/>
    <w:rsid w:val="74232EF6"/>
    <w:rsid w:val="748B04A5"/>
    <w:rsid w:val="74D47E83"/>
    <w:rsid w:val="753F0C2D"/>
    <w:rsid w:val="77DE623F"/>
    <w:rsid w:val="78CC0C1A"/>
    <w:rsid w:val="791A5BDE"/>
    <w:rsid w:val="7C9338B5"/>
    <w:rsid w:val="7EBE525E"/>
    <w:rsid w:val="7F6D60FB"/>
    <w:rsid w:val="7F781C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Balloon Text"/>
    <w:basedOn w:val="1"/>
    <w:link w:val="11"/>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rFonts w:cs="Times New Roman"/>
      <w:kern w:val="0"/>
      <w:sz w:val="24"/>
    </w:rPr>
  </w:style>
  <w:style w:type="character" w:styleId="9">
    <w:name w:val="page number"/>
    <w:qFormat/>
    <w:uiPriority w:val="0"/>
  </w:style>
  <w:style w:type="character" w:styleId="10">
    <w:name w:val="Hyperlink"/>
    <w:basedOn w:val="8"/>
    <w:qFormat/>
    <w:uiPriority w:val="0"/>
    <w:rPr>
      <w:color w:val="0000FF"/>
      <w:u w:val="single"/>
    </w:rPr>
  </w:style>
  <w:style w:type="character" w:customStyle="1" w:styleId="11">
    <w:name w:val="批注框文本 Char"/>
    <w:basedOn w:val="8"/>
    <w:link w:val="3"/>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istrator\Desktop\&#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支出预算图</a:t>
            </a:r>
          </a:p>
        </c:rich>
      </c:tx>
      <c:layout/>
      <c:overlay val="0"/>
      <c:spPr>
        <a:noFill/>
        <a:ln>
          <a:noFill/>
        </a:ln>
        <a:effectLst/>
      </c:spPr>
    </c:title>
    <c:autoTitleDeleted val="0"/>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115753557121149"/>
          <c:y val="0.365522640710961"/>
          <c:w val="0.826511949164249"/>
          <c:h val="0.612797291578502"/>
        </c:manualLayout>
      </c:layout>
      <c:pie3DChart>
        <c:varyColors val="1"/>
        <c:ser>
          <c:idx val="0"/>
          <c:order val="0"/>
          <c:spPr>
            <a:scene3d>
              <a:camera prst="orthographicFront"/>
              <a:lightRig rig="threePt" dir="t"/>
            </a:scene3d>
            <a:sp3d contourW="9525"/>
          </c:spPr>
          <c:explosion val="0"/>
          <c:dPt>
            <c:idx val="0"/>
            <c:bubble3D val="0"/>
            <c:spPr>
              <a:gradFill>
                <a:gsLst>
                  <a:gs pos="100000">
                    <a:schemeClr val="accent1"/>
                  </a:gs>
                  <a:gs pos="0">
                    <a:schemeClr val="accent1">
                      <a:hueOff val="-1670000"/>
                    </a:schemeClr>
                  </a:gs>
                </a:gsLst>
                <a:lin ang="5400000" scaled="0"/>
              </a:gradFill>
              <a:ln>
                <a:gradFill>
                  <a:gsLst>
                    <a:gs pos="100000">
                      <a:schemeClr val="accent1">
                        <a:lumMod val="75000"/>
                      </a:schemeClr>
                    </a:gs>
                    <a:gs pos="0">
                      <a:schemeClr val="accent1">
                        <a:lumMod val="75000"/>
                        <a:hueOff val="-1670000"/>
                      </a:schemeClr>
                    </a:gs>
                  </a:gsLst>
                  <a:lin ang="4620000" scaled="0"/>
                </a:gradFill>
              </a:ln>
              <a:effectLst/>
            </c:spPr>
          </c:dPt>
          <c:dPt>
            <c:idx val="1"/>
            <c:bubble3D val="0"/>
            <c:spPr>
              <a:gradFill>
                <a:gsLst>
                  <a:gs pos="100000">
                    <a:schemeClr val="accent2"/>
                  </a:gs>
                  <a:gs pos="0">
                    <a:schemeClr val="accent2">
                      <a:hueOff val="-1670000"/>
                    </a:schemeClr>
                  </a:gs>
                </a:gsLst>
                <a:lin ang="5400000" scaled="0"/>
              </a:gradFill>
              <a:ln>
                <a:gradFill>
                  <a:gsLst>
                    <a:gs pos="100000">
                      <a:schemeClr val="accent2">
                        <a:lumMod val="75000"/>
                      </a:schemeClr>
                    </a:gs>
                    <a:gs pos="0">
                      <a:schemeClr val="accent2">
                        <a:lumMod val="75000"/>
                        <a:hueOff val="-1670000"/>
                      </a:schemeClr>
                    </a:gs>
                  </a:gsLst>
                  <a:lin ang="4620000" scaled="0"/>
                </a:gradFill>
              </a:ln>
              <a:effectLst/>
            </c:spPr>
          </c:dPt>
          <c:dPt>
            <c:idx val="2"/>
            <c:bubble3D val="0"/>
            <c:spPr>
              <a:gradFill>
                <a:gsLst>
                  <a:gs pos="100000">
                    <a:schemeClr val="accent3"/>
                  </a:gs>
                  <a:gs pos="0">
                    <a:schemeClr val="accent3">
                      <a:hueOff val="-1670000"/>
                    </a:schemeClr>
                  </a:gs>
                </a:gsLst>
                <a:lin ang="5400000" scaled="0"/>
              </a:gradFill>
              <a:ln>
                <a:gradFill>
                  <a:gsLst>
                    <a:gs pos="100000">
                      <a:schemeClr val="accent3">
                        <a:lumMod val="75000"/>
                      </a:schemeClr>
                    </a:gs>
                    <a:gs pos="0">
                      <a:schemeClr val="accent3">
                        <a:lumMod val="75000"/>
                        <a:hueOff val="-1670000"/>
                      </a:schemeClr>
                    </a:gs>
                  </a:gsLst>
                  <a:lin ang="4620000" scaled="0"/>
                </a:gradFill>
              </a:ln>
              <a:effectLst/>
            </c:spPr>
          </c:dPt>
          <c:dPt>
            <c:idx val="3"/>
            <c:bubble3D val="0"/>
            <c:spPr>
              <a:gradFill>
                <a:gsLst>
                  <a:gs pos="100000">
                    <a:schemeClr val="accent4"/>
                  </a:gs>
                  <a:gs pos="0">
                    <a:schemeClr val="accent4">
                      <a:hueOff val="-1670000"/>
                    </a:schemeClr>
                  </a:gs>
                </a:gsLst>
                <a:lin ang="5400000" scaled="0"/>
              </a:gradFill>
              <a:ln>
                <a:gradFill>
                  <a:gsLst>
                    <a:gs pos="100000">
                      <a:schemeClr val="accent4">
                        <a:lumMod val="75000"/>
                      </a:schemeClr>
                    </a:gs>
                    <a:gs pos="0">
                      <a:schemeClr val="accent4">
                        <a:lumMod val="75000"/>
                        <a:hueOff val="-1670000"/>
                      </a:schemeClr>
                    </a:gs>
                  </a:gsLst>
                  <a:lin ang="4620000" scaled="0"/>
                </a:gradFill>
              </a:ln>
              <a:effectLst/>
            </c:spPr>
          </c:dPt>
          <c:dPt>
            <c:idx val="4"/>
            <c:bubble3D val="0"/>
            <c:spPr>
              <a:gradFill>
                <a:gsLst>
                  <a:gs pos="100000">
                    <a:schemeClr val="accent5"/>
                  </a:gs>
                  <a:gs pos="0">
                    <a:schemeClr val="accent5">
                      <a:hueOff val="-1670000"/>
                    </a:schemeClr>
                  </a:gs>
                </a:gsLst>
                <a:lin ang="5400000" scaled="0"/>
              </a:gradFill>
              <a:ln>
                <a:gradFill>
                  <a:gsLst>
                    <a:gs pos="100000">
                      <a:schemeClr val="accent5">
                        <a:lumMod val="75000"/>
                      </a:schemeClr>
                    </a:gs>
                    <a:gs pos="0">
                      <a:schemeClr val="accent5">
                        <a:lumMod val="75000"/>
                        <a:hueOff val="-1670000"/>
                      </a:schemeClr>
                    </a:gs>
                  </a:gsLst>
                  <a:lin ang="4620000" scaled="0"/>
                </a:gradFill>
              </a:ln>
              <a:effectLst/>
              <a:scene3d>
                <a:camera prst="orthographicFront"/>
                <a:lightRig rig="threePt" dir="t"/>
              </a:scene3d>
              <a:sp3d contourW="9525"/>
            </c:spPr>
          </c:dPt>
          <c:dPt>
            <c:idx val="5"/>
            <c:bubble3D val="0"/>
            <c:spPr>
              <a:gradFill>
                <a:gsLst>
                  <a:gs pos="100000">
                    <a:schemeClr val="accent6"/>
                  </a:gs>
                  <a:gs pos="0">
                    <a:schemeClr val="accent6">
                      <a:hueOff val="-1670000"/>
                    </a:schemeClr>
                  </a:gs>
                </a:gsLst>
                <a:lin ang="5400000" scaled="0"/>
              </a:gradFill>
              <a:ln>
                <a:gradFill>
                  <a:gsLst>
                    <a:gs pos="100000">
                      <a:schemeClr val="accent6">
                        <a:lumMod val="75000"/>
                      </a:schemeClr>
                    </a:gs>
                    <a:gs pos="0">
                      <a:schemeClr val="accent6">
                        <a:lumMod val="75000"/>
                        <a:hueOff val="-1670000"/>
                      </a:schemeClr>
                    </a:gs>
                  </a:gsLst>
                  <a:lin ang="4620000" scaled="0"/>
                </a:gradFill>
              </a:ln>
              <a:effectLst/>
              <a:scene3d>
                <a:camera prst="orthographicFront"/>
                <a:lightRig rig="threePt" dir="t"/>
              </a:scene3d>
              <a:sp3d contourW="9525"/>
            </c:spPr>
          </c:dPt>
          <c:dLbls>
            <c:dLbl>
              <c:idx val="0"/>
              <c:layout>
                <c:manualLayout>
                  <c:x val="-0.202029469468127"/>
                  <c:y val="-0.0038668553648133"/>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92287838975576"/>
                  <c:y val="0.0165572784738961"/>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0212148416656319"/>
                  <c:y val="-0.00590526728247497"/>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432334484273819"/>
                  <c:y val="0.156968811849895"/>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outEnd"/>
            <c:showLegendKey val="0"/>
            <c:showVal val="0"/>
            <c:showCatName val="1"/>
            <c:showSerName val="0"/>
            <c:showPercent val="1"/>
            <c:showBubbleSize val="0"/>
            <c:separator> </c:separator>
            <c:showLeaderLines val="1"/>
            <c:extLst>
              <c:ext xmlns:c15="http://schemas.microsoft.com/office/drawing/2012/chart" uri="{CE6537A1-D6FC-4f65-9D91-7224C49458BB}">
                <c15:spPr xmlns:c15="http://schemas.microsoft.com/office/drawing/2012/chart">
                  <a:prstGeom prst="roundRect">
                    <a:avLst/>
                  </a:prstGeom>
                  <a:noFill/>
                  <a:ln>
                    <a:noFill/>
                  </a:ln>
                </c15:spPr>
                <c15:layout/>
                <c15:showLeaderLines val="1"/>
                <c15:leaderLines>
                  <c:spPr>
                    <a:ln w="9525">
                      <a:solidFill>
                        <a:schemeClr val="dk1">
                          <a:lumMod val="35000"/>
                          <a:lumOff val="65000"/>
                        </a:schemeClr>
                      </a:solidFill>
                    </a:ln>
                    <a:effectLst/>
                  </c:spPr>
                </c15:leaderLines>
              </c:ext>
            </c:extLst>
          </c:dLbls>
          <c:cat>
            <c:strRef>
              <c:f>[收入预算图.xlsx]Sheet1!$B$2:$B$7</c:f>
              <c:strCache>
                <c:ptCount val="6"/>
                <c:pt idx="0">
                  <c:v>社会保障和就业支出</c:v>
                </c:pt>
                <c:pt idx="1">
                  <c:v>卫生健康支出</c:v>
                </c:pt>
                <c:pt idx="2">
                  <c:v>一般公共服务支出</c:v>
                </c:pt>
                <c:pt idx="3">
                  <c:v>住房保障支出</c:v>
                </c:pt>
                <c:pt idx="4">
                  <c:v>节能环保支出</c:v>
                </c:pt>
              </c:strCache>
            </c:strRef>
          </c:cat>
          <c:val>
            <c:numRef>
              <c:f>[收入预算图.xlsx]Sheet1!$C$2:$C$7</c:f>
              <c:numCache>
                <c:formatCode>0.00%</c:formatCode>
                <c:ptCount val="6"/>
                <c:pt idx="0">
                  <c:v>0.0509000000000001</c:v>
                </c:pt>
                <c:pt idx="1">
                  <c:v>0.0156</c:v>
                </c:pt>
                <c:pt idx="2">
                  <c:v>0.3498</c:v>
                </c:pt>
                <c:pt idx="3">
                  <c:v>0.0258</c:v>
                </c:pt>
                <c:pt idx="4">
                  <c:v>0.5579</c:v>
                </c:pt>
              </c:numCache>
            </c:numRef>
          </c:val>
        </c:ser>
        <c:dLbls>
          <c:showLegendKey val="0"/>
          <c:showVal val="0"/>
          <c:showCatName val="1"/>
          <c:showSerName val="0"/>
          <c:showPercent val="1"/>
          <c:showBubbleSize val="0"/>
        </c:dLbls>
      </c:pie3DChart>
      <c:spPr>
        <a:noFill/>
        <a:ln>
          <a:noFill/>
        </a:ln>
        <a:effectLst/>
      </c:spPr>
    </c:plotArea>
    <c:legend>
      <c:legendPos val="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chart>
  <c:spPr>
    <a:solidFill>
      <a:schemeClr val="lt1">
        <a:lumMod val="96000"/>
      </a:schemeClr>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97">
  <cs:axisTitle>
    <cs:lnRef idx="0"/>
    <cs:fillRef idx="0"/>
    <cs:effectRef idx="0"/>
    <cs:fontRef idx="minor">
      <a:schemeClr val="dk1">
        <a:lumMod val="65000"/>
        <a:lumOff val="35000"/>
      </a:schemeClr>
    </cs:fontRef>
    <cs:defRPr sz="10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lt1">
          <a:lumMod val="96000"/>
        </a:schemeClr>
      </a:solidFill>
      <a:ln w="9525" cap="flat" cmpd="sng" algn="ctr">
        <a:solidFill>
          <a:schemeClr val="tx1">
            <a:lumMod val="15000"/>
            <a:lumOff val="85000"/>
          </a:schemeClr>
        </a:solidFill>
        <a:round/>
      </a:ln>
    </cs:spPr>
    <cs:defRPr sz="1000" kern="1200"/>
  </cs:chartArea>
  <cs:dataLabel>
    <cs:lnRef idx="0"/>
    <cs:fillRef idx="0"/>
    <cs:effectRef idx="0"/>
    <cs:fontRef idx="minor">
      <a:schemeClr val="dk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0">
      <cs:styleClr val="auto"/>
    </cs:fillRef>
    <cs:effectRef idx="0"/>
    <cs:fontRef idx="minor">
      <a:schemeClr val="dk1"/>
    </cs:fontRef>
    <cs:spPr>
      <a:gradFill>
        <a:gsLst>
          <a:gs pos="100000">
            <a:schemeClr val="phClr"/>
          </a:gs>
          <a:gs pos="0">
            <a:schemeClr val="phClr">
              <a:hueOff val="-1670000"/>
            </a:schemeClr>
          </a:gs>
        </a:gsLst>
        <a:lin ang="5400000" scaled="0"/>
      </a:gradFill>
      <a:ln>
        <a:gradFill>
          <a:gsLst>
            <a:gs pos="100000">
              <a:schemeClr val="phClr">
                <a:lumMod val="75000"/>
              </a:schemeClr>
            </a:gs>
            <a:gs pos="0">
              <a:schemeClr val="phClr">
                <a:lumMod val="75000"/>
                <a:hueOff val="-1670000"/>
              </a:schemeClr>
            </a:gs>
          </a:gsLst>
          <a:lin ang="4620000" scaled="0"/>
        </a:gra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cap="flat" cmpd="sng" algn="ctr">
        <a:solidFill>
          <a:schemeClr val="dk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a:solidFill>
          <a:schemeClr val="dk1">
            <a:lumMod val="75000"/>
            <a:lumOff val="2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5699</Words>
  <Characters>6007</Characters>
  <Lines>43</Lines>
  <Paragraphs>12</Paragraphs>
  <TotalTime>12</TotalTime>
  <ScaleCrop>false</ScaleCrop>
  <LinksUpToDate>false</LinksUpToDate>
  <CharactersWithSpaces>6013</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2024-05-27T06:28:00Z</dcterms:created>
  <dc:creator>dell</dc:creator>
  <cp:lastModifiedBy>Administrator</cp:lastModifiedBy>
  <dcterms:modified xsi:type="dcterms:W3CDTF">2024-06-22T03:48:10Z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AA6161384DF4417F82CE6AEF8ABCBB2E_11</vt:lpwstr>
  </property>
</Properties>
</file>