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岳阳市君山区残疾人联合会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君山区残联主要是听取残疾人意见、反映残疾人需求、维护残疾人合法权益、为残疾人服务等有关职责。</w:t>
      </w:r>
    </w:p>
    <w:p>
      <w:pPr>
        <w:widowControl/>
        <w:shd w:val="clear" w:color="auto" w:fill="FFFFFF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1、团结教育残疾人遵守法律法规；</w:t>
      </w:r>
    </w:p>
    <w:p>
      <w:pPr>
        <w:widowControl/>
        <w:shd w:val="clear" w:color="auto" w:fill="FFFFFF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2、宣传残疾人事业，沟通政府、社会与残疾人之间的联系，动员社会理解、尊重、关心、帮助残疾人；</w:t>
      </w:r>
    </w:p>
    <w:p>
      <w:pPr>
        <w:widowControl/>
        <w:shd w:val="clear" w:color="auto" w:fill="FFFFFF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3、协助区政府研究、制定和实施残疾人事业的政策、规划和计划；</w:t>
      </w:r>
    </w:p>
    <w:p>
      <w:pPr>
        <w:widowControl/>
        <w:shd w:val="clear" w:color="auto" w:fill="FFFFFF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4、指导开展残疾人康复、扶贫、教育、劳动就业、文化、体育、科研、服务器用具供应、福利、社会服务、无障碍设施和残疾预防工作，创造良好的社会环境和条件，扶助残疾人平等地参与社会生活；</w:t>
      </w:r>
    </w:p>
    <w:p>
      <w:pPr>
        <w:widowControl/>
        <w:shd w:val="clear" w:color="auto" w:fill="FFFFFF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5、承担区政府残疾人工作委员会的日常工作；</w:t>
      </w:r>
    </w:p>
    <w:p>
      <w:pPr>
        <w:widowControl/>
        <w:shd w:val="clear" w:color="auto" w:fill="FFFFFF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6、承办区委、区政府交办的其他工作。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君山区残疾</w:t>
      </w:r>
      <w:bookmarkStart w:id="5" w:name="_GoBack"/>
      <w:bookmarkEnd w:id="5"/>
      <w:r>
        <w:rPr>
          <w:rFonts w:hint="eastAsia" w:eastAsia="仿宋_GB2312"/>
          <w:sz w:val="32"/>
          <w:szCs w:val="32"/>
          <w:lang w:eastAsia="zh-CN"/>
        </w:rPr>
        <w:t>人联合会</w:t>
      </w:r>
      <w:r>
        <w:rPr>
          <w:rFonts w:eastAsia="仿宋_GB2312"/>
          <w:sz w:val="32"/>
          <w:szCs w:val="32"/>
        </w:rPr>
        <w:t>内设综合性办公室一个, 现有</w:t>
      </w:r>
      <w:r>
        <w:rPr>
          <w:rFonts w:hint="eastAsia" w:eastAsia="仿宋_GB2312"/>
          <w:sz w:val="32"/>
          <w:szCs w:val="32"/>
          <w:lang w:eastAsia="zh-CN"/>
        </w:rPr>
        <w:t>在职</w:t>
      </w:r>
      <w:r>
        <w:rPr>
          <w:rFonts w:eastAsia="仿宋_GB2312"/>
          <w:sz w:val="32"/>
          <w:szCs w:val="32"/>
        </w:rPr>
        <w:t>人员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人，其中</w:t>
      </w:r>
      <w:r>
        <w:rPr>
          <w:rFonts w:hint="eastAsia" w:eastAsia="仿宋_GB2312"/>
          <w:sz w:val="32"/>
          <w:szCs w:val="32"/>
          <w:lang w:eastAsia="zh-CN"/>
        </w:rPr>
        <w:t>：行政编制人员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人，事业编制2人，劳务派遣3人</w:t>
      </w:r>
      <w:r>
        <w:rPr>
          <w:rFonts w:hint="eastAsia" w:eastAsia="仿宋_GB2312"/>
          <w:sz w:val="32"/>
          <w:szCs w:val="32"/>
          <w:lang w:val="en-US" w:eastAsia="zh-CN"/>
        </w:rPr>
        <w:t>；</w:t>
      </w:r>
      <w:r>
        <w:rPr>
          <w:rFonts w:hint="eastAsia" w:eastAsia="仿宋_GB2312"/>
          <w:sz w:val="32"/>
          <w:szCs w:val="32"/>
          <w:lang w:eastAsia="zh-CN"/>
        </w:rPr>
        <w:t>退休人员</w:t>
      </w:r>
      <w:r>
        <w:rPr>
          <w:rFonts w:hint="eastAsia" w:eastAsia="仿宋_GB2312"/>
          <w:sz w:val="32"/>
          <w:szCs w:val="32"/>
          <w:lang w:val="en-US" w:eastAsia="zh-CN"/>
        </w:rPr>
        <w:t>1人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岳阳市君山区残疾人联合会部门只有本级，没有其他二级预算单位，因此，纳入2024年部门预算编制范围的只有岳阳市君山区残疾人联合会本级。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包括一般公共预算、政府性基金、国有资本经营预算等财政拨款收入，以及经营收入、事业收入等单位资金。2024年本部门收入预算365.18万元，其中，一般公共预算拨款365.18万元，政府性基金预算资金0.00万元(所以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)，上级补助收入资金0.00万元，事业单位经营收入资金0.00万元，上年结转结余0.00万元。收入较上年增加13.42万元，上升3.81%。主要原因是单位人员变动，从而导致工资福利及商品服务支出增加。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leftChars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365.18万元，其中：社会保障和就业支出351.73万元，卫生健康支出5.07万元，住房保障支出8.38万元。支出较上年增加13.42万元，上升3.81%。主要原因是单位人员变动，从而导致工资福利及商品服务支出增加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5273040" cy="3053080"/>
            <wp:effectExtent l="4445" t="4445" r="18415" b="9525"/>
            <wp:docPr id="1" name="图表 1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2024年本部门一般公共预算拨款支出365.18万元，其中：社会保障和就业支出351.73万元，占96.31%；卫生健康支出5.07万元，占1.39%；住房保障支出8.38万元，占2.3%。具体安排情况如下：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2024年本部门基本支出预算数108.23万元，主要是为保障部门正常运转、完成日常工作任务而发生的各项支出，包括用于基本工资、津贴补贴等人员经费以及办公费、印刷费、水电费、办公设备购置等公用经费。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2024年本部门项目支出预算256.95万元，主要是本部门为完成特定工作任务或事业发展目标而发生的支出，包括有关业务工作经费、残疾人专项等，其中：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256.95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</w:rPr>
        <w:t>残疾人就业及扶贫，</w:t>
      </w:r>
      <w:r>
        <w:rPr>
          <w:rFonts w:eastAsia="仿宋_GB2312"/>
          <w:sz w:val="32"/>
          <w:szCs w:val="32"/>
        </w:rPr>
        <w:t>残疾人基本服务状况和需求，信息数据动态更新工作，信息采集的支出</w:t>
      </w:r>
      <w:r>
        <w:rPr>
          <w:rFonts w:hint="eastAsia" w:eastAsia="仿宋_GB2312"/>
          <w:sz w:val="32"/>
          <w:szCs w:val="32"/>
        </w:rPr>
        <w:t>等方面；特殊儿童群体，</w:t>
      </w:r>
      <w:r>
        <w:rPr>
          <w:rFonts w:eastAsia="仿宋_GB2312"/>
          <w:sz w:val="32"/>
          <w:szCs w:val="32"/>
        </w:rPr>
        <w:t>建设残疾儿童救助制度体系、实现残疾儿童应救尽救、完成残疾人康复救助任务的支出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2024年区残疾人联合会部门机关运行经费12.24万元，比上年预算上升0.06%。主要原因是单位人员变动，造成公用经费略有预算增加。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0.2万元，其中，公务接待费0.2万元，公务用车购置及运行费0万元（其中，公务用车购置费0万元，公务用车运行费0万元），因公出国（境）费0万元。2024年“三公”经费预算与2023年持平，主要原因是严格落实中央“八项规定”精神和“过紧日子”的要求，从严控制“三公”经费支出。</w:t>
      </w:r>
      <w:bookmarkStart w:id="1" w:name="END_IS_ZERO_06_2"/>
      <w:bookmarkEnd w:id="1"/>
      <w:bookmarkStart w:id="2" w:name="START_IS_ZERO_06_2"/>
      <w:bookmarkEnd w:id="2"/>
      <w:bookmarkStart w:id="3" w:name="DIS_MARK_IS_ZERO_06_2"/>
      <w:bookmarkEnd w:id="3"/>
      <w:bookmarkStart w:id="4" w:name="END_IS_ZERO_06_1"/>
      <w:bookmarkEnd w:id="4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会议，人数0人，；培训费预算0.5万元，拟开展三等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培训，人数20人，内容为残疾人就业培训等；2024年度本部门未计划举办节庆、晚会、论坛、赛事活动，经费预算0万元。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2024年本部门政府采购预算总额12.13万元，其中，货物类采购预算3.63万元；工程类采购预算0万元；服务类采购预算8.5万元。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本部门所有支出实行绩效目标管理。纳入2024年部门整体支出绩效目标的金额为365.18万元，其中，基本支出108.23万元，项目支出256.95万元，具体绩效目标详见文尾附表中部门预算公开表21-22表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附件：岳阳市君山区残疾人联合会2024年部门预算公开表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zRiMTYxZDMzMTQyMDNkMWFhNjUyY2VhYTE4YTUifQ=="/>
  </w:docVars>
  <w:rsids>
    <w:rsidRoot w:val="637274E6"/>
    <w:rsid w:val="005A192F"/>
    <w:rsid w:val="0992531D"/>
    <w:rsid w:val="0A0D382D"/>
    <w:rsid w:val="0C6046B2"/>
    <w:rsid w:val="0D8D68F1"/>
    <w:rsid w:val="0E486203"/>
    <w:rsid w:val="0E4B58DB"/>
    <w:rsid w:val="0ED939EE"/>
    <w:rsid w:val="0F1663CA"/>
    <w:rsid w:val="13385187"/>
    <w:rsid w:val="149163D9"/>
    <w:rsid w:val="167C1082"/>
    <w:rsid w:val="16B94831"/>
    <w:rsid w:val="17214184"/>
    <w:rsid w:val="1B156429"/>
    <w:rsid w:val="1C744CBF"/>
    <w:rsid w:val="200307FA"/>
    <w:rsid w:val="206E043A"/>
    <w:rsid w:val="20A420AE"/>
    <w:rsid w:val="213E1D14"/>
    <w:rsid w:val="22CB72A5"/>
    <w:rsid w:val="230C7214"/>
    <w:rsid w:val="236C7E16"/>
    <w:rsid w:val="264178B0"/>
    <w:rsid w:val="29EC6874"/>
    <w:rsid w:val="2BF01473"/>
    <w:rsid w:val="2D6329A9"/>
    <w:rsid w:val="2DD7176A"/>
    <w:rsid w:val="2EF502C5"/>
    <w:rsid w:val="2F432E19"/>
    <w:rsid w:val="305B1762"/>
    <w:rsid w:val="305B3D34"/>
    <w:rsid w:val="305C2E10"/>
    <w:rsid w:val="324A2389"/>
    <w:rsid w:val="325942EF"/>
    <w:rsid w:val="328F1D91"/>
    <w:rsid w:val="32982A78"/>
    <w:rsid w:val="32C66482"/>
    <w:rsid w:val="33B976BA"/>
    <w:rsid w:val="35683252"/>
    <w:rsid w:val="35D63F1B"/>
    <w:rsid w:val="361C522A"/>
    <w:rsid w:val="36BE748E"/>
    <w:rsid w:val="372419C7"/>
    <w:rsid w:val="38C2711D"/>
    <w:rsid w:val="3951638D"/>
    <w:rsid w:val="3A242018"/>
    <w:rsid w:val="3A7E52C6"/>
    <w:rsid w:val="3BDE696C"/>
    <w:rsid w:val="3E3A1BFC"/>
    <w:rsid w:val="3ED20F0C"/>
    <w:rsid w:val="3F116709"/>
    <w:rsid w:val="3F150D8C"/>
    <w:rsid w:val="403F2E01"/>
    <w:rsid w:val="422B116F"/>
    <w:rsid w:val="429F602C"/>
    <w:rsid w:val="44B23168"/>
    <w:rsid w:val="44C24001"/>
    <w:rsid w:val="4555609A"/>
    <w:rsid w:val="47E411CF"/>
    <w:rsid w:val="490966A2"/>
    <w:rsid w:val="49B605D8"/>
    <w:rsid w:val="4AD36F68"/>
    <w:rsid w:val="4ADD73C0"/>
    <w:rsid w:val="4BC03402"/>
    <w:rsid w:val="4DBF1A26"/>
    <w:rsid w:val="4EE728E7"/>
    <w:rsid w:val="51066F16"/>
    <w:rsid w:val="51B004D2"/>
    <w:rsid w:val="52241F08"/>
    <w:rsid w:val="54244912"/>
    <w:rsid w:val="56301712"/>
    <w:rsid w:val="574216FD"/>
    <w:rsid w:val="576A0C54"/>
    <w:rsid w:val="58A12453"/>
    <w:rsid w:val="5A380B96"/>
    <w:rsid w:val="5D5E21D5"/>
    <w:rsid w:val="5D647EF4"/>
    <w:rsid w:val="5DE306BB"/>
    <w:rsid w:val="5EE279EC"/>
    <w:rsid w:val="5F3F29C6"/>
    <w:rsid w:val="62D8159F"/>
    <w:rsid w:val="637274E6"/>
    <w:rsid w:val="63894210"/>
    <w:rsid w:val="64C7681D"/>
    <w:rsid w:val="662F72F1"/>
    <w:rsid w:val="66B263EF"/>
    <w:rsid w:val="68572B2F"/>
    <w:rsid w:val="6B49147A"/>
    <w:rsid w:val="6C0749A4"/>
    <w:rsid w:val="6C5E2742"/>
    <w:rsid w:val="6CB542C8"/>
    <w:rsid w:val="6CC62031"/>
    <w:rsid w:val="70AE175A"/>
    <w:rsid w:val="721F6E5B"/>
    <w:rsid w:val="72860C2E"/>
    <w:rsid w:val="728C4B01"/>
    <w:rsid w:val="729A1F96"/>
    <w:rsid w:val="739C7F8F"/>
    <w:rsid w:val="73BE1EBD"/>
    <w:rsid w:val="776D4D4E"/>
    <w:rsid w:val="78CC0C1A"/>
    <w:rsid w:val="791A5BDE"/>
    <w:rsid w:val="7A705107"/>
    <w:rsid w:val="7AFB04E9"/>
    <w:rsid w:val="7C9338B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支出预算图</c:v>
                </c:pt>
              </c:strCache>
            </c:strRef>
          </c:tx>
          <c:spPr/>
          <c:explosion val="0"/>
          <c:dPt>
            <c:idx val="0"/>
            <c:bubble3D val="0"/>
            <c:explosion val="0"/>
            <c:spPr>
              <a:solidFill>
                <a:srgbClr val="2D2D89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0.0188343535701481"/>
                  <c:y val="0.10703217129484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951117480385517"/>
                  <c:y val="0.2164768067448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0.9631</c:v>
                </c:pt>
                <c:pt idx="1">
                  <c:v>0.0139</c:v>
                </c:pt>
                <c:pt idx="2">
                  <c:v>0.023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754">
    <a:dk1>
      <a:srgbClr val="000000"/>
    </a:dk1>
    <a:lt1>
      <a:srgbClr val="FFFFFF"/>
    </a:lt1>
    <a:dk2>
      <a:srgbClr val="0C0E1F"/>
    </a:dk2>
    <a:lt2>
      <a:srgbClr val="FEFFFF"/>
    </a:lt2>
    <a:accent1>
      <a:srgbClr val="04CD9E"/>
    </a:accent1>
    <a:accent2>
      <a:srgbClr val="80E214"/>
    </a:accent2>
    <a:accent3>
      <a:srgbClr val="119FBE"/>
    </a:accent3>
    <a:accent4>
      <a:srgbClr val="EBC279"/>
    </a:accent4>
    <a:accent5>
      <a:srgbClr val="F95F5F"/>
    </a:accent5>
    <a:accent6>
      <a:srgbClr val="A15C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3515</Words>
  <Characters>3781</Characters>
  <Lines>0</Lines>
  <Paragraphs>0</Paragraphs>
  <TotalTime>9</TotalTime>
  <ScaleCrop>false</ScaleCrop>
  <LinksUpToDate>false</LinksUpToDate>
  <CharactersWithSpaces>3791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dell</cp:lastModifiedBy>
  <dcterms:modified xsi:type="dcterms:W3CDTF">2024-06-23T13:39:04Z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162E544386AE4D92BF8D6E0D87531EEF_13</vt:lpwstr>
  </property>
</Properties>
</file>