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岳阳市君山区住房和城乡建设局</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lang w:val="en-US" w:eastAsia="zh-CN"/>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Theme="minorEastAsia" w:hAnsiTheme="minorEastAsia" w:eastAsiaTheme="minorEastAsia" w:cstheme="minorEastAsia"/>
          <w:sz w:val="28"/>
          <w:szCs w:val="28"/>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r>
        <w:rPr>
          <w:rFonts w:hint="eastAsia" w:ascii="Times New Roman" w:hAnsi="Times New Roman" w:eastAsia="方正小标宋_GBK" w:cs="Times New Roman"/>
          <w:b/>
          <w:bCs/>
          <w:kern w:val="0"/>
          <w:sz w:val="36"/>
          <w:szCs w:val="36"/>
        </w:rPr>
        <w:t>第一部分 部门预算公开说明</w:t>
      </w:r>
    </w:p>
    <w:p>
      <w:pPr>
        <w:ind w:firstLine="643" w:firstLineChars="200"/>
        <w:rPr>
          <w:rFonts w:hint="eastAsia" w:ascii="Times New Roman" w:hAnsi="Times New Roman" w:eastAsia="黑体" w:cs="Times New Roman"/>
          <w:b/>
          <w:bCs/>
          <w:kern w:val="0"/>
          <w:sz w:val="32"/>
          <w:szCs w:val="32"/>
        </w:rPr>
      </w:pPr>
    </w:p>
    <w:p>
      <w:pPr>
        <w:ind w:firstLine="643" w:firstLineChars="200"/>
        <w:rPr>
          <w:rFonts w:hint="eastAsia" w:asciiTheme="minorEastAsia" w:hAnsiTheme="minorEastAsia" w:eastAsiaTheme="minorEastAsia" w:cstheme="minorEastAsia"/>
          <w:b/>
          <w:bCs/>
          <w:sz w:val="28"/>
          <w:szCs w:val="28"/>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（一）职能职责</w:t>
      </w:r>
    </w:p>
    <w:p>
      <w:pPr>
        <w:pStyle w:val="3"/>
        <w:shd w:val="clear" w:color="auto" w:fill="FFFFFF"/>
        <w:spacing w:before="0" w:beforeAutospacing="0" w:after="0" w:afterAutospacing="0" w:line="480" w:lineRule="auto"/>
        <w:ind w:firstLine="480"/>
        <w:jc w:val="both"/>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1、贯彻落实住房和城乡建设领域的政策法规；起草有关住房和城乡建设及人民防空规范性文件草案并监督实施；拟定住房和城乡建设及人民防空发展战略、产业政策、改革方案、中长期规划及年度计划并组织实施。</w:t>
      </w:r>
    </w:p>
    <w:p>
      <w:pPr>
        <w:pStyle w:val="3"/>
        <w:shd w:val="clear" w:color="auto" w:fill="FFFFFF"/>
        <w:spacing w:before="0" w:beforeAutospacing="0" w:after="0" w:afterAutospacing="0" w:line="480" w:lineRule="auto"/>
        <w:ind w:firstLine="480"/>
        <w:jc w:val="both"/>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2、承担城市建设工作。参与城建计划的编制；参与城建工程项目概（预）算的审查，负责工程项目竣工结算的初审；负责中心城区城建重点项目和旧城改造项目的建设管理；负责组织实施由政府投资的非经营性公用建设项目新建、改建和扩建工程；负责城区提质改造工作；负责海绵城市和城市综合管廊建设；负责城区黑臭水体整治。</w:t>
      </w:r>
    </w:p>
    <w:p>
      <w:pPr>
        <w:pStyle w:val="3"/>
        <w:shd w:val="clear" w:color="auto" w:fill="FFFFFF"/>
        <w:spacing w:before="0" w:beforeAutospacing="0" w:after="0" w:afterAutospacing="0" w:line="480" w:lineRule="auto"/>
        <w:ind w:firstLine="480"/>
        <w:jc w:val="both"/>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3、承担村镇建设指导管理责任。负责推荐新型城镇化工作；负责指导和协调小城镇建设，参与小城镇发展经费、计划编制及管理；负责指导农村危房改造工作；负责指导监督村镇生活污水处理设施及配套管网建设。</w:t>
      </w:r>
    </w:p>
    <w:p>
      <w:pPr>
        <w:pStyle w:val="3"/>
        <w:shd w:val="clear" w:color="auto" w:fill="FFFFFF"/>
        <w:spacing w:before="0" w:beforeAutospacing="0" w:after="0" w:afterAutospacing="0" w:line="480" w:lineRule="auto"/>
        <w:ind w:firstLine="480"/>
        <w:jc w:val="both"/>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4、承担人民防空工作。组织开展人民防空组织指挥工作；管理人民防空通信警报建设；管理人民防空经费和资产；组织人民防空干部教育培训。</w:t>
      </w:r>
    </w:p>
    <w:p>
      <w:pPr>
        <w:pStyle w:val="3"/>
        <w:shd w:val="clear" w:color="auto" w:fill="FFFFFF"/>
        <w:spacing w:before="0" w:beforeAutospacing="0" w:after="0" w:afterAutospacing="0" w:line="480" w:lineRule="auto"/>
        <w:ind w:firstLine="480"/>
        <w:jc w:val="both"/>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5、承担建筑市场管理和建设工程质量、安全生产的监督管理责任。负责建设工程施工许可管理和合同备案，核发《建筑工程施工许可证》；负责建设工程竣工验收备案管理和城市建设档案管理；负责对全区房屋建筑和市政基础设施建设工程招投标工作的监督管理；负责对全区建设监理进行监督管理；监督指导全区建设工程质量、安全生产；</w:t>
      </w:r>
    </w:p>
    <w:p>
      <w:pPr>
        <w:pStyle w:val="3"/>
        <w:shd w:val="clear" w:color="auto" w:fill="FFFFFF"/>
        <w:spacing w:before="0" w:beforeAutospacing="0" w:after="0" w:afterAutospacing="0" w:line="480" w:lineRule="auto"/>
        <w:ind w:firstLine="480"/>
        <w:jc w:val="both"/>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6、承担全区房屋建筑和市政基础设施建设工程勘察设计市场监督管理。负责全区建设工程初步设计审批、施工图审查、消防设计的审查验收；</w:t>
      </w:r>
    </w:p>
    <w:p>
      <w:pPr>
        <w:pStyle w:val="3"/>
        <w:shd w:val="clear" w:color="auto" w:fill="FFFFFF"/>
        <w:spacing w:before="0" w:beforeAutospacing="0" w:after="0" w:afterAutospacing="0" w:line="480" w:lineRule="auto"/>
        <w:ind w:firstLine="480"/>
        <w:jc w:val="both"/>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7、承担全区房屋建筑市场和市政基础设施建设工程发承包计价活动的监督和管理。承担推荐建设科技成果转化推广和建筑节能工作。负责对全区房地产业的协调和指导，加强对经济适用房、廉租房、公租房、棚户区的改造、货币补贴等住房保障工作的宏观规划、指导、监督和协调。</w:t>
      </w:r>
    </w:p>
    <w:p>
      <w:pPr>
        <w:pStyle w:val="3"/>
        <w:shd w:val="clear" w:color="auto" w:fill="FFFFFF"/>
        <w:spacing w:before="0" w:beforeAutospacing="0" w:after="0" w:afterAutospacing="0" w:line="480" w:lineRule="auto"/>
        <w:ind w:firstLine="480"/>
        <w:jc w:val="both"/>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8、承担城镇供排水及污水处理监督管理责任；负责城区排水设施、污水及污泥处理设施的建设和运行维护的监督管理；负责指导城市供水建设、协调城市供水工作；负责监督指导村镇污水处理设施和运行管理。</w:t>
      </w:r>
    </w:p>
    <w:p>
      <w:pPr>
        <w:pStyle w:val="3"/>
        <w:shd w:val="clear" w:color="auto" w:fill="FFFFFF"/>
        <w:spacing w:before="0" w:beforeAutospacing="0" w:after="0" w:afterAutospacing="0" w:line="480" w:lineRule="auto"/>
        <w:ind w:firstLine="480"/>
        <w:jc w:val="both"/>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shd w:val="clear" w:color="auto" w:fill="FFFFFF"/>
          <w:lang w:val="en-US" w:eastAsia="zh-CN" w:bidi="ar-SA"/>
        </w:rPr>
        <w:t>9、完成区委和区政府交办的其他任务。</w:t>
      </w:r>
    </w:p>
    <w:p>
      <w:pPr>
        <w:spacing w:line="570" w:lineRule="atLeast"/>
        <w:ind w:firstLine="643"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（二）机构设置</w:t>
      </w:r>
    </w:p>
    <w:p>
      <w:pPr>
        <w:spacing w:line="570" w:lineRule="atLeast"/>
        <w:ind w:firstLine="640" w:firstLineChars="200"/>
        <w:rPr>
          <w:rFonts w:hint="eastAsia" w:asciiTheme="minorEastAsia" w:hAnsiTheme="minorEastAsia" w:cstheme="minorEastAsia"/>
          <w:sz w:val="28"/>
          <w:szCs w:val="28"/>
          <w:highlight w:val="none"/>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岳阳市君山区住房和城乡建设局内设机构6个，事业单位7个。内设机构包括：办公室、行政审批股、政工人事股、计划财务股、城乡建设管理股、房产股等6个股室。事业单位包括：住房保障中心、建筑施工管理站、质量安全监督站、招投标造价交易中心、供排水服务中心、消防工作站、房产事务中心（其中房产事务中心为副科级单位 ，其余股室二级机构为股级单位)。</w:t>
      </w:r>
      <w:r>
        <w:rPr>
          <w:rFonts w:hint="eastAsia" w:asciiTheme="minorEastAsia" w:hAnsiTheme="minorEastAsia" w:cstheme="minorEastAsia"/>
          <w:sz w:val="28"/>
          <w:szCs w:val="28"/>
          <w:highlight w:val="none"/>
          <w:lang w:val="en-US" w:eastAsia="zh-CN"/>
        </w:rPr>
        <w:t xml:space="preserve">    </w:t>
      </w:r>
    </w:p>
    <w:p>
      <w:pPr>
        <w:ind w:firstLine="643" w:firstLineChars="200"/>
        <w:rPr>
          <w:rFonts w:hint="eastAsia" w:ascii="Times New Roman" w:hAnsi="Times New Roman" w:eastAsia="黑体" w:cs="Times New Roman"/>
          <w:b/>
          <w:bCs/>
          <w:kern w:val="0"/>
          <w:sz w:val="32"/>
          <w:szCs w:val="32"/>
          <w:highlight w:val="none"/>
        </w:rPr>
      </w:pPr>
      <w:r>
        <w:rPr>
          <w:rFonts w:hint="eastAsia" w:ascii="Times New Roman" w:hAnsi="Times New Roman" w:eastAsia="黑体" w:cs="Times New Roman"/>
          <w:b/>
          <w:bCs/>
          <w:kern w:val="0"/>
          <w:sz w:val="32"/>
          <w:szCs w:val="32"/>
          <w:highlight w:val="none"/>
        </w:rPr>
        <w:t>二、部门预算单位构成</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本部门预算为汇总预算，纳入2024年部门预算编制范围的预算单位包括：</w:t>
      </w:r>
    </w:p>
    <w:p>
      <w:pPr>
        <w:numPr>
          <w:ilvl w:val="0"/>
          <w:numId w:val="0"/>
        </w:num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1.岳阳市君山区住房和城乡建设局（含建筑施工管理站、质量安全监督站、招投标造价交易中心、供排水服务中心、消防工作站5个内部核算单位。）</w:t>
      </w:r>
    </w:p>
    <w:p>
      <w:pPr>
        <w:numPr>
          <w:ilvl w:val="0"/>
          <w:numId w:val="0"/>
        </w:num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2.岳阳市君山区住房保障中心</w:t>
      </w:r>
    </w:p>
    <w:p>
      <w:pPr>
        <w:spacing w:line="570" w:lineRule="atLeast"/>
        <w:ind w:firstLine="640" w:firstLineChars="200"/>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3.岳阳市君山区房产事务中心</w:t>
      </w:r>
    </w:p>
    <w:p>
      <w:pPr>
        <w:ind w:firstLine="643" w:firstLineChars="200"/>
        <w:rPr>
          <w:rFonts w:hint="eastAsia" w:ascii="Times New Roman" w:hAnsi="Times New Roman" w:eastAsia="黑体" w:cs="Times New Roman"/>
          <w:b/>
          <w:bCs/>
          <w:kern w:val="0"/>
          <w:sz w:val="32"/>
          <w:szCs w:val="32"/>
          <w:highlight w:val="none"/>
        </w:rPr>
      </w:pPr>
      <w:r>
        <w:rPr>
          <w:rFonts w:hint="eastAsia" w:ascii="Times New Roman" w:hAnsi="Times New Roman" w:eastAsia="黑体" w:cs="Times New Roman"/>
          <w:b/>
          <w:bCs/>
          <w:kern w:val="0"/>
          <w:sz w:val="32"/>
          <w:szCs w:val="32"/>
          <w:highlight w:val="none"/>
          <w:lang w:val="en-US" w:eastAsia="zh-CN"/>
        </w:rPr>
        <w:t>三、</w:t>
      </w:r>
      <w:r>
        <w:rPr>
          <w:rFonts w:hint="eastAsia" w:ascii="Times New Roman" w:hAnsi="Times New Roman" w:eastAsia="黑体" w:cs="Times New Roman"/>
          <w:b/>
          <w:bCs/>
          <w:kern w:val="0"/>
          <w:sz w:val="32"/>
          <w:szCs w:val="32"/>
          <w:highlight w:val="none"/>
        </w:rPr>
        <w:t>部门收支总体情况</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本部门2024年没有国有资本经营预算收入和纳入专户管理的非税收入拨款收入，也没有使用国有资本经营预算收入和纳入专户管理的非税收入拨款安排的支出，所以部门预算公开表18、19表均为空。</w:t>
      </w:r>
    </w:p>
    <w:p>
      <w:pPr>
        <w:numPr>
          <w:ilvl w:val="0"/>
          <w:numId w:val="1"/>
        </w:num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收入预算：</w:t>
      </w:r>
      <w:r>
        <w:rPr>
          <w:rFonts w:hint="eastAsia" w:ascii="仿宋_GB2312" w:hAnsi="仿宋_GB2312" w:eastAsia="仿宋_GB2312" w:cs="仿宋_GB2312"/>
          <w:color w:val="000000"/>
          <w:sz w:val="32"/>
          <w:szCs w:val="32"/>
          <w:highlight w:val="none"/>
          <w:shd w:val="clear" w:color="auto" w:fill="FFFFFF"/>
          <w:lang w:val="en-US" w:eastAsia="zh-CN"/>
        </w:rPr>
        <w:t>包括一般公共预算、政府性基金、国有资本经营预算等财政拨款收入，以及经营收入、事业收入等单位资金。2024年本部门收入预算8728.68万元，其中，一般公共预算拨款1148.68万元，政府性基金预算资金7580万元，国有资本经营预算资金0.00万元(所以部门预算公开表18表为空)，财政专户管理资金0.00万元(所以部门预算公开表19表为空)，上</w:t>
      </w:r>
      <w:r>
        <w:rPr>
          <w:rFonts w:hint="eastAsia" w:ascii="仿宋_GB2312" w:hAnsi="仿宋_GB2312" w:eastAsia="仿宋_GB2312" w:cs="仿宋_GB2312"/>
          <w:color w:val="000000"/>
          <w:sz w:val="32"/>
          <w:szCs w:val="32"/>
          <w:shd w:val="clear" w:color="auto" w:fill="FFFFFF"/>
          <w:lang w:val="en-US" w:eastAsia="zh-CN"/>
        </w:rPr>
        <w:t>级补助收入资金0.00万元，事业单位经营收入资金0.00万元，上年结转结余0.00万元。收入较去年增加2956.91万元，上升51.23%。主要原因是新增自来水PPP项目财政可行性缺口补助及污水PPP项目财政可行性缺口补助有所增加，从而导致对企业补助支出增加。</w:t>
      </w:r>
    </w:p>
    <w:p>
      <w:pPr>
        <w:numPr>
          <w:ilvl w:val="0"/>
          <w:numId w:val="0"/>
        </w:numPr>
        <w:spacing w:line="570" w:lineRule="atLeas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numPr>
          <w:ilvl w:val="0"/>
          <w:numId w:val="0"/>
        </w:numPr>
        <w:spacing w:line="570" w:lineRule="atLeast"/>
        <w:rPr>
          <w:rFonts w:hint="eastAsia" w:ascii="仿宋_GB2312" w:hAnsi="仿宋_GB2312" w:eastAsia="仿宋_GB2312" w:cs="仿宋_GB2312"/>
          <w:color w:val="000000"/>
          <w:sz w:val="32"/>
          <w:szCs w:val="32"/>
          <w:shd w:val="clear" w:color="auto" w:fill="FFFFFF"/>
          <w:lang w:val="en-US" w:eastAsia="zh-CN"/>
        </w:rPr>
      </w:pPr>
    </w:p>
    <w:p>
      <w:pPr>
        <w:numPr>
          <w:ilvl w:val="0"/>
          <w:numId w:val="1"/>
        </w:numPr>
        <w:spacing w:line="570" w:lineRule="atLeast"/>
        <w:ind w:left="0" w:leftChars="0"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支出预算：</w:t>
      </w:r>
      <w:r>
        <w:rPr>
          <w:rFonts w:hint="eastAsia" w:ascii="仿宋_GB2312" w:hAnsi="仿宋_GB2312" w:eastAsia="仿宋_GB2312" w:cs="仿宋_GB2312"/>
          <w:color w:val="000000"/>
          <w:sz w:val="32"/>
          <w:szCs w:val="32"/>
          <w:shd w:val="clear" w:color="auto" w:fill="FFFFFF"/>
          <w:lang w:val="en-US" w:eastAsia="zh-CN"/>
        </w:rPr>
        <w:t>2024年本部门支出预算8728.68万元，其中：社会保障和就业支出127.19万元，卫生健康支出30.13万元，节能环保支出109.40万元，城乡社区支出8413.90万元，住房保障支出48.05万元。支出较上年增加2956.91万元，上升51.23%。主要原因是新增自来水PPP项目财政可行性缺口补助及污水PPP项目财政可行性缺口补助有所增加，从而导致对企业补助支出增加。</w:t>
      </w:r>
    </w:p>
    <w:p>
      <w:pPr>
        <w:numPr>
          <w:ilvl w:val="0"/>
          <w:numId w:val="0"/>
        </w:numPr>
        <w:spacing w:line="570" w:lineRule="atLeas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2024年本部门一般公共预算拨款支出1148.68万元，其中：社会保障和就业支出127.19万元，占11.07%；</w:t>
      </w:r>
      <w:r>
        <w:rPr>
          <w:rFonts w:hint="eastAsia" w:ascii="仿宋_GB2312" w:hAnsi="仿宋_GB2312" w:eastAsia="仿宋_GB2312" w:cs="仿宋_GB2312"/>
          <w:color w:val="000000"/>
          <w:sz w:val="32"/>
          <w:szCs w:val="32"/>
          <w:highlight w:val="none"/>
          <w:shd w:val="clear" w:color="auto" w:fill="FFFFFF"/>
          <w:lang w:val="en-US" w:eastAsia="zh-CN"/>
        </w:rPr>
        <w:t xml:space="preserve"> 城乡社区支出833.91万元，占72.6%；卫生健康支出30.13万</w:t>
      </w:r>
      <w:r>
        <w:rPr>
          <w:rFonts w:hint="eastAsia" w:ascii="仿宋_GB2312" w:hAnsi="仿宋_GB2312" w:eastAsia="仿宋_GB2312" w:cs="仿宋_GB2312"/>
          <w:color w:val="000000"/>
          <w:sz w:val="32"/>
          <w:szCs w:val="32"/>
          <w:shd w:val="clear" w:color="auto" w:fill="FFFFFF"/>
          <w:lang w:val="en-US" w:eastAsia="zh-CN"/>
        </w:rPr>
        <w:t>元，占2.62%；住房保障支出48.05万元，占4.18%；节能环保支出109.4万元，占9.53%。具体安排情况如下：</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（一）基本支出：</w:t>
      </w:r>
      <w:r>
        <w:rPr>
          <w:rFonts w:hint="eastAsia" w:ascii="仿宋_GB2312" w:hAnsi="仿宋_GB2312" w:eastAsia="仿宋_GB2312" w:cs="仿宋_GB2312"/>
          <w:color w:val="000000"/>
          <w:sz w:val="32"/>
          <w:szCs w:val="32"/>
          <w:shd w:val="clear" w:color="auto" w:fill="FFFFFF"/>
          <w:lang w:val="en-US" w:eastAsia="zh-CN"/>
        </w:rPr>
        <w:t>2024年本部门基本支出预算数666.28万元，主要是为保障部门正常运转、完成日常工作任务而发生的各项支出，包括用于基本工资、津贴补贴等人员经费以及办公费、印刷费、水电费、办公设备购置等公用经费。</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（二）项目支出：</w:t>
      </w:r>
      <w:r>
        <w:rPr>
          <w:rFonts w:hint="eastAsia" w:ascii="仿宋_GB2312" w:hAnsi="仿宋_GB2312" w:eastAsia="仿宋_GB2312" w:cs="仿宋_GB2312"/>
          <w:color w:val="000000"/>
          <w:sz w:val="32"/>
          <w:szCs w:val="32"/>
          <w:shd w:val="clear" w:color="auto" w:fill="FFFFFF"/>
          <w:lang w:val="en-US" w:eastAsia="zh-CN"/>
        </w:rPr>
        <w:t>2024年本部门项目支出预算482.4万元，主要是本部门为完成特定工作任务或事业发展目标而发生的支出，包括有关事业发展专项、专项业务费、基本建设支出等，其中：城乡社区支出373万元，主要用于</w:t>
      </w:r>
      <w:r>
        <w:rPr>
          <w:rFonts w:hint="eastAsia" w:eastAsia="仿宋_GB2312"/>
          <w:sz w:val="32"/>
          <w:szCs w:val="32"/>
          <w:highlight w:val="none"/>
          <w:lang w:eastAsia="zh-CN"/>
        </w:rPr>
        <w:t>业务工作经费支出、</w:t>
      </w:r>
      <w:r>
        <w:rPr>
          <w:rFonts w:hint="eastAsia" w:eastAsia="仿宋_GB2312"/>
          <w:sz w:val="32"/>
          <w:szCs w:val="32"/>
          <w:highlight w:val="none"/>
          <w:lang w:val="en-US" w:eastAsia="zh-CN"/>
        </w:rPr>
        <w:t>施工图审费、行政审批帮代办服务费、</w:t>
      </w:r>
      <w:r>
        <w:rPr>
          <w:rFonts w:hint="eastAsia" w:ascii="Times New Roman" w:hAnsi="Times New Roman" w:eastAsia="仿宋_GB2312" w:cs="Times New Roman"/>
          <w:sz w:val="32"/>
          <w:szCs w:val="32"/>
          <w:lang w:val="en-US" w:eastAsia="zh-CN"/>
        </w:rPr>
        <w:t>乡镇城镇工作开展支出、公租房、廉租房维修维护管理费、危房改造、自建房整治、房地产行业维稳和物业管理</w:t>
      </w:r>
      <w:r>
        <w:rPr>
          <w:rFonts w:hint="eastAsia" w:ascii="仿宋_GB2312" w:hAnsi="仿宋_GB2312" w:eastAsia="仿宋_GB2312" w:cs="仿宋_GB2312"/>
          <w:color w:val="000000"/>
          <w:sz w:val="32"/>
          <w:szCs w:val="32"/>
          <w:shd w:val="clear" w:color="auto" w:fill="FFFFFF"/>
          <w:lang w:val="en-US" w:eastAsia="zh-CN"/>
        </w:rPr>
        <w:t>等方面； 节能环保支出109.4万元，主要用于城区污水厂存量资产维护及污泥运输处置。</w:t>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2024年度本部门政府性基金安排支出为7580万元，其中：城乡社区支出7580万元，占100%，主要用于污水PPP项目和自来水PPP项目财政可行性缺口补助及城区污水厂存量资产维护及污泥运输处置。</w:t>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（一）机关运行经费：</w:t>
      </w:r>
      <w:r>
        <w:rPr>
          <w:rFonts w:hint="eastAsia" w:ascii="仿宋_GB2312" w:hAnsi="仿宋_GB2312" w:eastAsia="仿宋_GB2312" w:cs="仿宋_GB2312"/>
          <w:color w:val="000000"/>
          <w:sz w:val="32"/>
          <w:szCs w:val="32"/>
          <w:shd w:val="clear" w:color="auto" w:fill="FFFFFF"/>
          <w:lang w:val="en-US" w:eastAsia="zh-CN"/>
        </w:rPr>
        <w:t>2024年本部门机关本级、住房保障中心、房产事务中心3家行政事业单位的机关运行经费56.39万元，比上年预算下降19.93%。主要原因</w:t>
      </w:r>
      <w:r>
        <w:rPr>
          <w:rFonts w:hint="eastAsia" w:ascii="仿宋_GB2312" w:hAnsi="仿宋_GB2312" w:eastAsia="仿宋_GB2312" w:cs="仿宋_GB2312"/>
          <w:color w:val="000000"/>
          <w:sz w:val="32"/>
          <w:szCs w:val="32"/>
          <w:highlight w:val="none"/>
          <w:shd w:val="clear" w:color="auto" w:fill="FFFFFF"/>
          <w:lang w:val="en-US" w:eastAsia="zh-CN"/>
        </w:rPr>
        <w:t>是2023年新增3名退休人员，人员经费预算减少以及全面落实“过紧日子”的要求，厉行节约，</w:t>
      </w:r>
      <w:r>
        <w:rPr>
          <w:rFonts w:hint="eastAsia" w:ascii="仿宋_GB2312" w:hAnsi="仿宋_GB2312" w:eastAsia="仿宋_GB2312" w:cs="仿宋_GB2312"/>
          <w:color w:val="000000"/>
          <w:sz w:val="32"/>
          <w:szCs w:val="32"/>
          <w:shd w:val="clear" w:color="auto" w:fill="FFFFFF"/>
          <w:lang w:val="en-US" w:eastAsia="zh-CN"/>
        </w:rPr>
        <w:t>造成公用经费预算减少。</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（二）“三公”经费预算：</w:t>
      </w:r>
      <w:r>
        <w:rPr>
          <w:rFonts w:hint="eastAsia" w:ascii="仿宋_GB2312" w:hAnsi="仿宋_GB2312" w:eastAsia="仿宋_GB2312" w:cs="仿宋_GB2312"/>
          <w:color w:val="000000"/>
          <w:sz w:val="32"/>
          <w:szCs w:val="32"/>
          <w:shd w:val="clear" w:color="auto" w:fill="FFFFFF"/>
          <w:lang w:val="en-US" w:eastAsia="zh-CN"/>
        </w:rPr>
        <w:t>2024年本部门机关本级、住房保障中心、房产事务中心3家行政事业单位“三公”经费预算数为2万元，其中，公务接待费2万元，公务用车购置及运行费0万元（其中，公务用车购置费0万元，公务用车运行费0万元），因公出国（境）费0万元。2024年“三公”经费预算较2023年减少3.52万元，主要原因是严格落实中央“八项规定”精神和“过紧日子”的要求，从严控制“三公”经费支出。</w:t>
      </w:r>
      <w:bookmarkStart w:id="0" w:name="END_IS_ZERO_06_1"/>
      <w:bookmarkEnd w:id="0"/>
      <w:bookmarkStart w:id="1" w:name="END_IS_ZERO_06_2"/>
      <w:bookmarkEnd w:id="1"/>
      <w:bookmarkStart w:id="2" w:name="START_IS_ZERO_06_2"/>
      <w:bookmarkEnd w:id="2"/>
      <w:bookmarkStart w:id="3" w:name="DIS_MARK_IS_ZERO_06_2"/>
      <w:bookmarkEnd w:id="3"/>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（三）一般性支出情况：</w:t>
      </w:r>
      <w:r>
        <w:rPr>
          <w:rFonts w:hint="eastAsia" w:ascii="仿宋_GB2312" w:hAnsi="仿宋_GB2312" w:eastAsia="仿宋_GB2312" w:cs="仿宋_GB2312"/>
          <w:color w:val="000000"/>
          <w:sz w:val="32"/>
          <w:szCs w:val="32"/>
          <w:shd w:val="clear" w:color="auto" w:fill="FFFFFF"/>
          <w:lang w:val="en-US" w:eastAsia="zh-CN"/>
        </w:rPr>
        <w:t>2024年本部门会议费预算0万元，拟召开0次会议，人数0人；培训费预算0万元，拟开展0次培训，人数0人；</w:t>
      </w:r>
      <w:r>
        <w:rPr>
          <w:rFonts w:hint="eastAsia" w:ascii="仿宋_GB2312" w:hAnsi="仿宋_GB2312" w:eastAsia="仿宋_GB2312" w:cs="仿宋_GB2312"/>
          <w:color w:val="000000"/>
          <w:kern w:val="2"/>
          <w:sz w:val="32"/>
          <w:szCs w:val="32"/>
          <w:shd w:val="clear" w:color="auto" w:fill="FFFFFF"/>
          <w:lang w:val="en-US" w:eastAsia="zh-CN" w:bidi="ar-SA"/>
        </w:rPr>
        <w:t>2024年度本部门未计划举办节庆、晚会、论坛、赛事活动。</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（四）政府采购情况：</w:t>
      </w:r>
      <w:r>
        <w:rPr>
          <w:rFonts w:hint="eastAsia" w:ascii="仿宋_GB2312" w:hAnsi="仿宋_GB2312" w:eastAsia="仿宋_GB2312" w:cs="仿宋_GB2312"/>
          <w:color w:val="000000"/>
          <w:sz w:val="32"/>
          <w:szCs w:val="32"/>
          <w:shd w:val="clear" w:color="auto" w:fill="FFFFFF"/>
          <w:lang w:val="en-US" w:eastAsia="zh-CN"/>
        </w:rPr>
        <w:t>2024年本部门政府采购预算总额827.4万元，其中，货物类采购预算44.8万元；工程类采购预算368万元；服务类采购预算414.6万元。</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（五）国有资产占用使用及新增资产配置情况：</w:t>
      </w:r>
      <w:r>
        <w:rPr>
          <w:rFonts w:hint="eastAsia" w:ascii="仿宋_GB2312" w:hAnsi="仿宋_GB2312" w:eastAsia="仿宋_GB2312" w:cs="仿宋_GB2312"/>
          <w:color w:val="000000"/>
          <w:sz w:val="32"/>
          <w:szCs w:val="32"/>
          <w:shd w:val="clear" w:color="auto" w:fill="FFFFFF"/>
          <w:lang w:val="en-US" w:eastAsia="zh-CN"/>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2024年拟新增配置公务用车0辆，</w:t>
      </w:r>
      <w:r>
        <w:rPr>
          <w:rFonts w:hint="eastAsia" w:ascii="仿宋_GB2312" w:hAnsi="仿宋_GB2312" w:eastAsia="仿宋_GB2312" w:cs="仿宋_GB2312"/>
          <w:color w:val="000000"/>
          <w:sz w:val="32"/>
          <w:szCs w:val="32"/>
          <w:highlight w:val="none"/>
          <w:shd w:val="clear" w:color="auto" w:fill="FFFFFF"/>
          <w:lang w:val="en-US" w:eastAsia="zh-CN"/>
        </w:rPr>
        <w:t>其中，机要通信用车0辆，应急保障用车0辆，执法执勤用车0辆，特种专业技术用车0辆，其他按照规定配备的公务用车0辆</w:t>
      </w:r>
      <w:r>
        <w:rPr>
          <w:rFonts w:hint="eastAsia" w:ascii="仿宋_GB2312" w:hAnsi="仿宋_GB2312" w:eastAsia="仿宋_GB2312" w:cs="仿宋_GB2312"/>
          <w:color w:val="000000"/>
          <w:sz w:val="32"/>
          <w:szCs w:val="32"/>
          <w:shd w:val="clear" w:color="auto" w:fill="FFFFFF"/>
          <w:lang w:val="en-US" w:eastAsia="zh-CN"/>
        </w:rPr>
        <w:t>；新增配备单位价值50万元以上设备0台，其中，单位价值100万元以上设备0台。</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（六）预算绩效目标说明：</w:t>
      </w:r>
      <w:r>
        <w:rPr>
          <w:rFonts w:hint="eastAsia" w:ascii="仿宋_GB2312" w:hAnsi="仿宋_GB2312" w:eastAsia="仿宋_GB2312" w:cs="仿宋_GB2312"/>
          <w:color w:val="000000"/>
          <w:sz w:val="32"/>
          <w:szCs w:val="32"/>
          <w:shd w:val="clear" w:color="auto" w:fill="FFFFFF"/>
          <w:lang w:val="en-US" w:eastAsia="zh-CN"/>
        </w:rPr>
        <w:t>本部门所有支出实行绩效目标管理。纳入2024年部门整体支出绩效目标的金额为8728.68万元，其中，基本支出666.28万元，项目支出8062.4万元，具体绩效目标详见文尾附表中部门预算公开表21-2</w:t>
      </w:r>
      <w:r>
        <w:rPr>
          <w:rFonts w:hint="eastAsia" w:ascii="仿宋_GB2312" w:hAnsi="仿宋_GB2312" w:eastAsia="仿宋_GB2312" w:cs="仿宋_GB2312"/>
          <w:color w:val="000000"/>
          <w:sz w:val="32"/>
          <w:szCs w:val="32"/>
          <w:highlight w:val="none"/>
          <w:shd w:val="clear" w:color="auto" w:fill="FFFFFF"/>
          <w:lang w:val="en-US" w:eastAsia="zh-CN"/>
        </w:rPr>
        <w:t>2表</w:t>
      </w:r>
      <w:r>
        <w:rPr>
          <w:rFonts w:hint="eastAsia" w:ascii="仿宋_GB2312" w:hAnsi="仿宋_GB2312" w:eastAsia="仿宋_GB2312" w:cs="仿宋_GB2312"/>
          <w:color w:val="000000"/>
          <w:sz w:val="32"/>
          <w:szCs w:val="32"/>
          <w:shd w:val="clear" w:color="auto" w:fill="FFFFFF"/>
          <w:lang w:val="en-US" w:eastAsia="zh-CN"/>
        </w:rPr>
        <w:t>。</w:t>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1．机关运行经费：</w:t>
      </w:r>
      <w:r>
        <w:rPr>
          <w:rFonts w:hint="eastAsia" w:ascii="仿宋_GB2312" w:hAnsi="仿宋_GB2312" w:eastAsia="仿宋_GB2312" w:cs="仿宋_GB2312"/>
          <w:color w:val="000000"/>
          <w:sz w:val="32"/>
          <w:szCs w:val="32"/>
          <w:shd w:val="clear" w:color="auto" w:fill="FFFFFF"/>
          <w:lang w:val="en-US" w:eastAsia="zh-CN"/>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70" w:lineRule="atLeast"/>
        <w:ind w:firstLine="643" w:firstLineChars="200"/>
        <w:rPr>
          <w:rFonts w:hint="eastAsia" w:asciiTheme="minorEastAsia" w:hAnsiTheme="minorEastAsia" w:eastAsiaTheme="minorEastAsia" w:cstheme="minorEastAsia"/>
          <w:sz w:val="28"/>
          <w:szCs w:val="28"/>
        </w:rPr>
      </w:pPr>
      <w:r>
        <w:rPr>
          <w:rFonts w:hint="eastAsia" w:ascii="仿宋_GB2312" w:hAnsi="仿宋_GB2312" w:eastAsia="仿宋_GB2312" w:cs="仿宋_GB2312"/>
          <w:b/>
          <w:bCs/>
          <w:color w:val="000000"/>
          <w:sz w:val="32"/>
          <w:szCs w:val="32"/>
          <w:shd w:val="clear" w:color="auto" w:fill="FFFFFF"/>
          <w:lang w:val="en-US" w:eastAsia="zh-CN"/>
        </w:rPr>
        <w:t>2．“三公”经费：</w:t>
      </w:r>
      <w:r>
        <w:rPr>
          <w:rFonts w:hint="eastAsia" w:ascii="仿宋_GB2312" w:hAnsi="仿宋_GB2312" w:eastAsia="仿宋_GB2312" w:cs="仿宋_GB2312"/>
          <w:color w:val="000000"/>
          <w:sz w:val="32"/>
          <w:szCs w:val="32"/>
          <w:shd w:val="clear" w:color="auto" w:fill="FFFFFF"/>
          <w:lang w:val="en-US" w:eastAsia="zh-CN"/>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Theme="minorEastAsia" w:hAnsiTheme="minorEastAsia" w:eastAsiaTheme="minorEastAsia" w:cstheme="minorEastAsia"/>
          <w:sz w:val="28"/>
          <w:szCs w:val="28"/>
        </w:rPr>
      </w:pPr>
      <w:bookmarkStart w:id="4" w:name="_GoBack"/>
      <w:bookmarkEnd w:id="4"/>
      <w:r>
        <w:rPr>
          <w:rFonts w:hint="eastAsia" w:ascii="方正小标宋简体" w:hAnsi="Times New Roman" w:eastAsia="方正小标宋简体" w:cs="Times New Roman"/>
          <w:b/>
          <w:bCs/>
          <w:kern w:val="0"/>
          <w:sz w:val="36"/>
          <w:szCs w:val="36"/>
          <w:lang w:val="en-US" w:eastAsia="zh-CN" w:bidi="ar-SA"/>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附件：岳阳市君山区住房和城乡建设局2024年部门预算公开表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textAlignment w:val="center"/>
        <w:rPr>
          <w:rFonts w:hint="eastAsia" w:asciiTheme="minorEastAsia" w:hAnsiTheme="minorEastAsia" w:eastAsiaTheme="minorEastAsia" w:cstheme="minorEastAsia"/>
          <w:b/>
          <w:bCs/>
          <w:i w:val="0"/>
          <w:iCs w:val="0"/>
          <w:caps w:val="0"/>
          <w:color w:val="333333"/>
          <w:spacing w:val="0"/>
          <w:sz w:val="28"/>
          <w:szCs w:val="28"/>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0E854"/>
    <w:multiLevelType w:val="singleLevel"/>
    <w:tmpl w:val="A250E8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kxYTllNGUzYWMwZmMyNjFiNTViYzNiYzdlYTAifQ=="/>
  </w:docVars>
  <w:rsids>
    <w:rsidRoot w:val="637274E6"/>
    <w:rsid w:val="010D1261"/>
    <w:rsid w:val="02DE1DE2"/>
    <w:rsid w:val="05974297"/>
    <w:rsid w:val="066547B5"/>
    <w:rsid w:val="0794481D"/>
    <w:rsid w:val="0B1F57A6"/>
    <w:rsid w:val="0BC81D71"/>
    <w:rsid w:val="0BD240F7"/>
    <w:rsid w:val="0C923A83"/>
    <w:rsid w:val="0CA06416"/>
    <w:rsid w:val="0E5B42C5"/>
    <w:rsid w:val="112B4160"/>
    <w:rsid w:val="11A2545A"/>
    <w:rsid w:val="13E04CC4"/>
    <w:rsid w:val="167C1082"/>
    <w:rsid w:val="16FB76F0"/>
    <w:rsid w:val="1B8847D2"/>
    <w:rsid w:val="1C6F6CFF"/>
    <w:rsid w:val="1C744CBF"/>
    <w:rsid w:val="1D6467D6"/>
    <w:rsid w:val="1ECC4DAF"/>
    <w:rsid w:val="1F8F2DF1"/>
    <w:rsid w:val="20CE0ED9"/>
    <w:rsid w:val="232333DF"/>
    <w:rsid w:val="24612064"/>
    <w:rsid w:val="2C8B2374"/>
    <w:rsid w:val="2CD84711"/>
    <w:rsid w:val="2D3A78E3"/>
    <w:rsid w:val="328F1D91"/>
    <w:rsid w:val="330E73CB"/>
    <w:rsid w:val="33791178"/>
    <w:rsid w:val="436D70FC"/>
    <w:rsid w:val="485B6A1A"/>
    <w:rsid w:val="48A235F7"/>
    <w:rsid w:val="4AF62C56"/>
    <w:rsid w:val="4DBA372C"/>
    <w:rsid w:val="4E511DD4"/>
    <w:rsid w:val="4EE728E7"/>
    <w:rsid w:val="51B62990"/>
    <w:rsid w:val="53755060"/>
    <w:rsid w:val="57DC07D5"/>
    <w:rsid w:val="581E42EB"/>
    <w:rsid w:val="5B525B22"/>
    <w:rsid w:val="5BCD52BC"/>
    <w:rsid w:val="62CB7F2F"/>
    <w:rsid w:val="637274E6"/>
    <w:rsid w:val="68675E30"/>
    <w:rsid w:val="68ED7257"/>
    <w:rsid w:val="6D6656CC"/>
    <w:rsid w:val="6DD672B4"/>
    <w:rsid w:val="6DE7565E"/>
    <w:rsid w:val="6EDD18B4"/>
    <w:rsid w:val="73626AED"/>
    <w:rsid w:val="78CC0C1A"/>
    <w:rsid w:val="7C7F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收入预算图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一般公共预算拨款</c:v>
                </c:pt>
                <c:pt idx="1">
                  <c:v>政府性基金预算资金</c:v>
                </c:pt>
              </c:strCache>
            </c:strRef>
          </c:cat>
          <c:val>
            <c:numRef>
              <c:f>Sheet1!$B$2:$B$3</c:f>
              <c:numCache>
                <c:formatCode>General</c:formatCode>
                <c:ptCount val="2"/>
                <c:pt idx="0">
                  <c:v>1148.68</c:v>
                </c:pt>
                <c:pt idx="1">
                  <c:v>7580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支出预算图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406792049895754"/>
                  <c:y val="-0.00156605389629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31613049417605"/>
                  <c:y val="-0.0015659823324978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75040073440693"/>
                  <c:y val="0.033910641390664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4"/>
              <c:layout>
                <c:manualLayout>
                  <c:x val="-0.113270127977449"/>
                  <c:y val="0.019986964262829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社会保障和就业支出</c:v>
                </c:pt>
                <c:pt idx="1">
                  <c:v>卫生健康支出</c:v>
                </c:pt>
                <c:pt idx="2">
                  <c:v>节能环保支出</c:v>
                </c:pt>
                <c:pt idx="3">
                  <c:v>城乡社区支出</c:v>
                </c:pt>
                <c:pt idx="4">
                  <c:v>住房保障支出</c:v>
                </c:pt>
              </c:strCache>
            </c:strRef>
          </c:cat>
          <c:val>
            <c:numRef>
              <c:f>Sheet1!$B$2:$B$6</c:f>
              <c:numCache>
                <c:formatCode>General</c:formatCode>
                <c:ptCount val="5"/>
                <c:pt idx="0">
                  <c:v>127.19</c:v>
                </c:pt>
                <c:pt idx="1">
                  <c:v>30.14</c:v>
                </c:pt>
                <c:pt idx="2">
                  <c:v>109.4</c:v>
                </c:pt>
                <c:pt idx="3">
                  <c:v>8413.9</c:v>
                </c:pt>
                <c:pt idx="4">
                  <c:v>48.05</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4545</Words>
  <Characters>4883</Characters>
  <Lines>0</Lines>
  <Paragraphs>0</Paragraphs>
  <TotalTime>2</TotalTime>
  <ScaleCrop>false</ScaleCrop>
  <LinksUpToDate>false</LinksUpToDate>
  <CharactersWithSpaces>4896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2024-06-15T10:07:17Z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B4AD31069D8041B498AE319ED244AD7F_13</vt:lpwstr>
  </property>
</Properties>
</file>