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岳阳市君山区房产事务中心</w:t>
      </w:r>
    </w:p>
    <w:p>
      <w:pPr>
        <w:spacing w:line="570" w:lineRule="atLeast"/>
        <w:jc w:val="center"/>
        <w:rPr>
          <w:rFonts w:hint="eastAsia" w:ascii="黑体" w:hAnsi="黑体" w:eastAsia="黑体" w:cs="黑体"/>
          <w:b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2024年部门预算公开</w:t>
      </w:r>
    </w:p>
    <w:p>
      <w:pPr>
        <w:rPr>
          <w:rFonts w:hint="eastAsia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部门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（一）职能职责</w:t>
      </w:r>
    </w:p>
    <w:p>
      <w:pPr>
        <w:spacing w:line="570" w:lineRule="atLeast"/>
        <w:ind w:firstLine="640" w:firstLineChars="200"/>
        <w:rPr>
          <w:rFonts w:hint="default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构建房地产市场平稳健康发展长效机制。商品房预售服务、房地产市场调控服务、房地产行业统计；物业服务、物业专项维修资金监管服务、城市房屋白蚁防治服务。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（二）机构设置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君山区房产事务中心内设机构3个。内设机构包括：办公室、物业股、房产开发股等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3个股室。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bookmarkStart w:id="0" w:name="DEPT_COMPOSE"/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君山区房产事务中心只有本级，没有其他二级预算单位，因此，纳入2024年部门预算编制范围的只有君山区房产事务中心本级。</w:t>
      </w:r>
      <w:bookmarkEnd w:id="0"/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部门预算公开表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5、16、17、18、19表均为空。</w:t>
      </w:r>
    </w:p>
    <w:p>
      <w:pPr>
        <w:numPr>
          <w:ilvl w:val="0"/>
          <w:numId w:val="1"/>
        </w:num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包括一般公共预算、政府性基金、国有资本经营预算等财政拨款收入，以及经营收入、事业收入等单位资金。2024年本单位收入预算138.08万元，其中，一般公共预算拨款138.08万元，政府性基金预算资金0.00万元(所以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部门预算公开表15-17表为空)，国有资本经营预算资金0.00万元(所以部门预算公开表18表为空)，财政专户管理资金0.00万元(所以部门预算公开表19表为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空)，上级补助收入资金0.00万元，事业单位经营收入资金0.00万元，上年结转结余0.00万元。收入较上年减少6.58万元，下降4.55%。主要原因是</w:t>
      </w:r>
      <w:r>
        <w:rPr>
          <w:rFonts w:hint="eastAsia" w:eastAsia="仿宋_GB2312"/>
          <w:sz w:val="32"/>
          <w:szCs w:val="32"/>
        </w:rPr>
        <w:t>按照党中央、国务院关于过“紧日子”和坚持厉行节约反对浪费的要求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，进一步压缩单位运行经费，从而导致本单位项目支出工作经费减少。</w:t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  <w:r>
        <w:drawing>
          <wp:inline distT="0" distB="0" distL="114300" distR="114300">
            <wp:extent cx="4886325" cy="2667000"/>
            <wp:effectExtent l="6350" t="6350" r="22225" b="12700"/>
            <wp:docPr id="4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</w:p>
    <w:p>
      <w:pPr>
        <w:numPr>
          <w:ilvl w:val="0"/>
          <w:numId w:val="1"/>
        </w:num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2024年本单位支出预算138.08万元，其中：社会保障和就业支出10.09万元，卫生健康支出4.22万元，住房保障支出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7.42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万元，城乡社区支出116.35万元。支出较上年减少6.58万元，下降4.55%。主要原因是</w:t>
      </w:r>
      <w:r>
        <w:rPr>
          <w:rFonts w:hint="eastAsia" w:eastAsia="仿宋_GB2312"/>
          <w:sz w:val="32"/>
          <w:szCs w:val="32"/>
        </w:rPr>
        <w:t>按照党中央、国务院关于过“紧日子”和坚持厉行节约反对浪费的要求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，进一步压缩单位运行经费，从而导致本单位项目支出</w:t>
      </w:r>
      <w:r>
        <w:drawing>
          <wp:inline distT="0" distB="0" distL="114300" distR="114300">
            <wp:extent cx="4596765" cy="30010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预算支出减少。</w:t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2024年本单位一般公共预算拨款支出138.08万元，其中：社会保障和就业支出10.09万元，占7.3</w:t>
      </w:r>
      <w:bookmarkStart w:id="5" w:name="_GoBack"/>
      <w:bookmarkEnd w:id="5"/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1%；卫生健康支出4.22万元，占3.06%；住房保障支出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shd w:val="clear" w:color="auto" w:fill="FFFFFF"/>
          <w:lang w:val="en-US" w:eastAsia="zh-CN"/>
        </w:rPr>
        <w:t>7.42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万元，占5.37%；城乡社区支出116.35万元，占84.26%。具体安排情况如下：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2024年本单位基本支出预算数93.08万元，主要是为保障单位正常运转、完成日常工作任务而发生的各项支出，包括用于基本工资、津贴补贴等人员经费以及办公费、印刷费、水电费、办公设备购置等公用经费。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2024年本单位项目支出预算45万元，主要是本单位为完成特定工作任务或事业发展目标而发生的支出，包括有关事业发展专项、专项业务费、基本建设支出等，其中：城乡社区支出45万元，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主要用于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房地产行业维稳和物业管理两方面业务。其中，房地产行业维稳包括：房产绘测及成果应用监督管理、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商品房监管信息系统建设和维护，信息专线网络服务，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房产交易会组织和宣传，房屋销售和房屋交易管理，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房地产开发企业服务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房地产信访突出问题处理，房地产行业信息统计，房地产项目监管、稽查、协税等方面；物业管理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包括：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物业从业人员业务培训，物业维修资金监管信息系统建设和维护，白蚁防治，装饰装修监管，房屋使用和安全监管，文明城市创建等方面；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房屋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销售和房屋交易管理、房产绘测及成果应用监督管理。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五、政府性基金预算支出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2024年度本单位无政府性基金安排的支出，所以公开的附件15-17（政府性基金预算）为空。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六、其他重要事项的情况说明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2024年君山区房产事务中心机关运行经费6.96万元，比上年预算下降39.69%。主要原因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是人员减少，造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成公用经费预算减少。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“三公”经费预算数为0万元，其中，公务接待费0万元，公务用车购置及运行费0万元（其中，公务用车购置费0万元，公务用车运行费0万元），因公出国（境）费0万元。2024年“三公”经费预算较2023年增加（或减少）0万元，主要原因是主要是严格落实中央“八项规定”精神和“过紧日子”的要求，从严控制“三公”经费支出。</w:t>
      </w:r>
      <w:bookmarkStart w:id="1" w:name="DIS_MARK_IS_ZERO_06_2"/>
      <w:bookmarkEnd w:id="1"/>
      <w:bookmarkStart w:id="2" w:name="START_IS_ZERO_06_2"/>
      <w:bookmarkEnd w:id="2"/>
      <w:bookmarkStart w:id="3" w:name="END_IS_ZERO_06_2"/>
      <w:bookmarkEnd w:id="3"/>
      <w:bookmarkStart w:id="4" w:name="END_IS_ZERO_06_1"/>
      <w:bookmarkEnd w:id="4"/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2024年本单位会议费预算0万元，拟召开0次会议，人数0人；培训费预算0万元，拟开展0次培训，人数0人；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</w:t>
      </w:r>
      <w:r>
        <w:rPr>
          <w:rFonts w:hint="eastAsia" w:ascii="仿宋_GB2312" w:hAnsi="仿宋_GB2312" w:eastAsia="仿宋_GB2312" w:cs="仿宋_GB2312"/>
          <w:color w:val="000000"/>
          <w:kern w:val="2"/>
          <w:sz w:val="36"/>
          <w:szCs w:val="36"/>
          <w:shd w:val="clear" w:color="auto" w:fill="FFFFFF"/>
          <w:lang w:val="en-US" w:eastAsia="zh-CN" w:bidi="ar-SA"/>
        </w:rPr>
        <w:t>部门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未计划举办节庆、晚会、论坛、赛事活动。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2024年本单位政府采购预算总额44.5万元，其中，货物类采购预算23.5万元；工程类采购预算0万元；服务类采购预算21万元。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截至2023年12月底，本单位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2024年拟新增配置公务用车0辆，其中，机要通信用车0辆，应急保障用车0辆，执法执勤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用车0辆，特种专业技术用车0辆，其他按照规定配备的公务用车0辆；新增配备单位价值50万元以上设备0台，其中，单位价值100万元以上设备0台。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本单位所有支出实行绩效目标管理。纳入2024年单位整体支出绩效目标的金额为138.08万元，其中，基本支出93.08万元，项目支出45万元，具体绩效目标详见文尾附表中部门预算公开表21-22表。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七、名词解释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ind w:firstLine="643" w:firstLineChars="200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  <w:t>第二部分  2024年部门预算公开表格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1、收支总表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2、收入总表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3、支出总表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4、支出预算分类汇总表（按政府预算经济分类）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5、支出预算分类汇总表（按部门预算经济分类）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6、财政拨款收支总表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7、一般公共预算支出表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8、一般公共预算基本支出表-人员经费（工资福利支出）（按政府预算经济分类）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9、一般公共预算基本支出表-人员经费（工资福利支出）（按部门预算经济分类）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10、一般公共预算基本支出表-人员经费（对个人和家庭的补助）（按政府预算经济分类）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11、一般公共预算基本支出表-人员经费（对个人和家庭的补助）（按部门预算经济分类）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12、一般公共预算基本支出表-公用经费（商品和服务支出）（按政府预算经济分类）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13、一般公共预算基本支出表-公用经费（商品和服务支出）（按部门预算经济分类）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14、一般公共预算“三公”经费支出表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15、政府性基金预算支出表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16、政府性基金预算支出分类汇总表（按政府预算经济分类）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17、政府性基金预算支出分类汇总表（按部门预算经济分类）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18、国有资本经营预算支出表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19、财政专户管理资金预算支出表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20、专项资金预算汇总表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21、项目支出绩效目标表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22、部门整体支出绩效目标表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23、一般公共预算基本支出表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注：以上部门预算公开报表中，空表表示本单位无相关收支情况。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附件：岳阳市君山区房产事务中心2024年部门预算公开表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仿宋_GB2312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7CC3CBB"/>
    <w:multiLevelType w:val="singleLevel"/>
    <w:tmpl w:val="57CC3CBB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0MzkxYTllNGUzYWMwZmMyNjFiNTViYzNiYzdlYTAifQ=="/>
  </w:docVars>
  <w:rsids>
    <w:rsidRoot w:val="637274E6"/>
    <w:rsid w:val="01BB5A85"/>
    <w:rsid w:val="01EC3E90"/>
    <w:rsid w:val="02060AF3"/>
    <w:rsid w:val="02140C7A"/>
    <w:rsid w:val="046523F8"/>
    <w:rsid w:val="049D5915"/>
    <w:rsid w:val="051C1C37"/>
    <w:rsid w:val="053C512E"/>
    <w:rsid w:val="05897536"/>
    <w:rsid w:val="05AA0B05"/>
    <w:rsid w:val="061B46E3"/>
    <w:rsid w:val="06473D8B"/>
    <w:rsid w:val="066C37F1"/>
    <w:rsid w:val="078828AD"/>
    <w:rsid w:val="07E21FBD"/>
    <w:rsid w:val="088363E7"/>
    <w:rsid w:val="08AF5C17"/>
    <w:rsid w:val="08CE0793"/>
    <w:rsid w:val="0995305F"/>
    <w:rsid w:val="0AD8381E"/>
    <w:rsid w:val="0AE47DFA"/>
    <w:rsid w:val="0AF142C5"/>
    <w:rsid w:val="0B172D74"/>
    <w:rsid w:val="0B5218A1"/>
    <w:rsid w:val="0B653E82"/>
    <w:rsid w:val="0B74654E"/>
    <w:rsid w:val="0C6311F3"/>
    <w:rsid w:val="0DB5782C"/>
    <w:rsid w:val="0E042561"/>
    <w:rsid w:val="0E1A1D85"/>
    <w:rsid w:val="0ECE329B"/>
    <w:rsid w:val="0EE36B54"/>
    <w:rsid w:val="0EF34AB0"/>
    <w:rsid w:val="0F2A3A2C"/>
    <w:rsid w:val="0F8C6CB2"/>
    <w:rsid w:val="10797237"/>
    <w:rsid w:val="13495D68"/>
    <w:rsid w:val="1407459D"/>
    <w:rsid w:val="1457788F"/>
    <w:rsid w:val="152F6116"/>
    <w:rsid w:val="16042156"/>
    <w:rsid w:val="16247C45"/>
    <w:rsid w:val="167C1082"/>
    <w:rsid w:val="16875174"/>
    <w:rsid w:val="179A3AA6"/>
    <w:rsid w:val="18A978FC"/>
    <w:rsid w:val="18C449C1"/>
    <w:rsid w:val="190F698A"/>
    <w:rsid w:val="192632E6"/>
    <w:rsid w:val="1B276664"/>
    <w:rsid w:val="1B6F1962"/>
    <w:rsid w:val="1C744CBF"/>
    <w:rsid w:val="1C914169"/>
    <w:rsid w:val="1D1C1676"/>
    <w:rsid w:val="1DD243C0"/>
    <w:rsid w:val="1E2D5254"/>
    <w:rsid w:val="1E9B0CC0"/>
    <w:rsid w:val="1E9B171D"/>
    <w:rsid w:val="1F0E3240"/>
    <w:rsid w:val="1F572E39"/>
    <w:rsid w:val="1F8154A2"/>
    <w:rsid w:val="20034AD4"/>
    <w:rsid w:val="21B300CF"/>
    <w:rsid w:val="22767EB0"/>
    <w:rsid w:val="22861ED8"/>
    <w:rsid w:val="228F28EA"/>
    <w:rsid w:val="242B4894"/>
    <w:rsid w:val="25822292"/>
    <w:rsid w:val="26243349"/>
    <w:rsid w:val="27233601"/>
    <w:rsid w:val="27562CA6"/>
    <w:rsid w:val="27FC457D"/>
    <w:rsid w:val="286F1B1C"/>
    <w:rsid w:val="28D728F5"/>
    <w:rsid w:val="29086F52"/>
    <w:rsid w:val="29332221"/>
    <w:rsid w:val="297D349C"/>
    <w:rsid w:val="2994068B"/>
    <w:rsid w:val="2A0E2346"/>
    <w:rsid w:val="2A5727A7"/>
    <w:rsid w:val="2B3247EE"/>
    <w:rsid w:val="2B717030"/>
    <w:rsid w:val="2B801021"/>
    <w:rsid w:val="2D6A3D37"/>
    <w:rsid w:val="2DC518B5"/>
    <w:rsid w:val="2E3B3A2C"/>
    <w:rsid w:val="2E9372BE"/>
    <w:rsid w:val="2EBF6305"/>
    <w:rsid w:val="2EE67D35"/>
    <w:rsid w:val="2F9D75AC"/>
    <w:rsid w:val="2FD04502"/>
    <w:rsid w:val="3034687E"/>
    <w:rsid w:val="30A25EDE"/>
    <w:rsid w:val="30F54535"/>
    <w:rsid w:val="32364B30"/>
    <w:rsid w:val="328F1D91"/>
    <w:rsid w:val="338B2C59"/>
    <w:rsid w:val="34160775"/>
    <w:rsid w:val="34833930"/>
    <w:rsid w:val="35535965"/>
    <w:rsid w:val="35F40894"/>
    <w:rsid w:val="36214EDF"/>
    <w:rsid w:val="36394BEF"/>
    <w:rsid w:val="366E52D5"/>
    <w:rsid w:val="377026B7"/>
    <w:rsid w:val="382F44FB"/>
    <w:rsid w:val="395E7E49"/>
    <w:rsid w:val="398C704B"/>
    <w:rsid w:val="39D8471E"/>
    <w:rsid w:val="3A323E2F"/>
    <w:rsid w:val="3A486D41"/>
    <w:rsid w:val="3CAB1C76"/>
    <w:rsid w:val="3CB10683"/>
    <w:rsid w:val="3D5347E8"/>
    <w:rsid w:val="3E4B1963"/>
    <w:rsid w:val="3FE93F43"/>
    <w:rsid w:val="40731651"/>
    <w:rsid w:val="40BA4B7E"/>
    <w:rsid w:val="41661C2D"/>
    <w:rsid w:val="41D91034"/>
    <w:rsid w:val="42521512"/>
    <w:rsid w:val="42AE1D2A"/>
    <w:rsid w:val="42E3660E"/>
    <w:rsid w:val="432D04AE"/>
    <w:rsid w:val="44D37CF1"/>
    <w:rsid w:val="45E8729D"/>
    <w:rsid w:val="4601059C"/>
    <w:rsid w:val="4602087F"/>
    <w:rsid w:val="4698770F"/>
    <w:rsid w:val="46B300A5"/>
    <w:rsid w:val="46EC2593"/>
    <w:rsid w:val="4748485A"/>
    <w:rsid w:val="47573126"/>
    <w:rsid w:val="4795409C"/>
    <w:rsid w:val="483967EE"/>
    <w:rsid w:val="48943F06"/>
    <w:rsid w:val="48A07A51"/>
    <w:rsid w:val="499004C0"/>
    <w:rsid w:val="4AFC64BF"/>
    <w:rsid w:val="4BBE358A"/>
    <w:rsid w:val="4D92310A"/>
    <w:rsid w:val="4E1E04FA"/>
    <w:rsid w:val="4E514D65"/>
    <w:rsid w:val="4EE728E7"/>
    <w:rsid w:val="4F0307B2"/>
    <w:rsid w:val="4F302902"/>
    <w:rsid w:val="52077AEA"/>
    <w:rsid w:val="545C3B2A"/>
    <w:rsid w:val="55C951EF"/>
    <w:rsid w:val="55E76771"/>
    <w:rsid w:val="56474697"/>
    <w:rsid w:val="56A1616C"/>
    <w:rsid w:val="573214BA"/>
    <w:rsid w:val="58AA36C5"/>
    <w:rsid w:val="58AA6296"/>
    <w:rsid w:val="58AF2EC0"/>
    <w:rsid w:val="5A13112F"/>
    <w:rsid w:val="5B914A01"/>
    <w:rsid w:val="5BC30933"/>
    <w:rsid w:val="5BCD17B1"/>
    <w:rsid w:val="5C45759A"/>
    <w:rsid w:val="5C4F0418"/>
    <w:rsid w:val="5C7D4F86"/>
    <w:rsid w:val="5DA725AA"/>
    <w:rsid w:val="5DC12353"/>
    <w:rsid w:val="5F101891"/>
    <w:rsid w:val="5F630CDE"/>
    <w:rsid w:val="60B42209"/>
    <w:rsid w:val="624E2C86"/>
    <w:rsid w:val="62946FB5"/>
    <w:rsid w:val="636E73D6"/>
    <w:rsid w:val="637274E6"/>
    <w:rsid w:val="63E65795"/>
    <w:rsid w:val="65042950"/>
    <w:rsid w:val="65B57FA7"/>
    <w:rsid w:val="65B8702E"/>
    <w:rsid w:val="65D5373C"/>
    <w:rsid w:val="66A575B3"/>
    <w:rsid w:val="67424E02"/>
    <w:rsid w:val="675A13CF"/>
    <w:rsid w:val="67AE06E9"/>
    <w:rsid w:val="682C3048"/>
    <w:rsid w:val="682E182A"/>
    <w:rsid w:val="68B910F3"/>
    <w:rsid w:val="68FD77D7"/>
    <w:rsid w:val="69C436EF"/>
    <w:rsid w:val="69FC1BE0"/>
    <w:rsid w:val="6A627569"/>
    <w:rsid w:val="6B1B73BC"/>
    <w:rsid w:val="6B685053"/>
    <w:rsid w:val="6D793547"/>
    <w:rsid w:val="6DD662A4"/>
    <w:rsid w:val="6F4B168B"/>
    <w:rsid w:val="700C41FF"/>
    <w:rsid w:val="70194B6E"/>
    <w:rsid w:val="70F118E0"/>
    <w:rsid w:val="71704C61"/>
    <w:rsid w:val="719F6C19"/>
    <w:rsid w:val="72DA6836"/>
    <w:rsid w:val="739A7D73"/>
    <w:rsid w:val="745655F8"/>
    <w:rsid w:val="75C368CD"/>
    <w:rsid w:val="77C27899"/>
    <w:rsid w:val="77DF669D"/>
    <w:rsid w:val="781E71C5"/>
    <w:rsid w:val="7827472E"/>
    <w:rsid w:val="78CC0C1A"/>
    <w:rsid w:val="7A40383F"/>
    <w:rsid w:val="7AE949AB"/>
    <w:rsid w:val="7B29035B"/>
    <w:rsid w:val="7C1728A9"/>
    <w:rsid w:val="7C940642"/>
    <w:rsid w:val="7CA37C99"/>
    <w:rsid w:val="7D266D66"/>
    <w:rsid w:val="7D9D0B8C"/>
    <w:rsid w:val="7E0557AD"/>
    <w:rsid w:val="7E21356B"/>
    <w:rsid w:val="7E5C45A3"/>
    <w:rsid w:val="7E7E59CE"/>
    <w:rsid w:val="7F69341C"/>
    <w:rsid w:val="7F774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Administrator\Desktop\Book1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800" b="1" i="0" u="none" strike="noStrike" kern="120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</c:title>
    <c:autoTitleDeleted val="0"/>
    <c:plotArea>
      <c:layout/>
      <c:pieChart>
        <c:varyColors val="1"/>
        <c:ser>
          <c:idx val="0"/>
          <c:order val="0"/>
          <c:explosion val="0"/>
          <c:dPt>
            <c:idx val="0"/>
            <c:bubble3D val="0"/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/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/>
              </c:ext>
            </c:extLst>
          </c:dLbls>
          <c:cat>
            <c:strRef>
              <c:f>[Book1.xlsx]Sheet1!$A$6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f>[Book1.xlsx]Sheet1!$A$7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>
        <c:manualLayout>
          <c:xMode val="edge"/>
          <c:yMode val="edge"/>
          <c:x val="0.700737532808399"/>
          <c:y val="0.0547878390201225"/>
          <c:w val="0.236068022747157"/>
          <c:h val="0.307090988626422"/>
        </c:manualLayout>
      </c:layout>
      <c:overlay val="0"/>
      <c:txPr>
        <a:bodyPr rot="0" spcFirstLastPara="0" vertOverflow="ellipsis" vert="horz" wrap="square" anchor="ctr" anchorCtr="1"/>
        <a:lstStyle/>
        <a:p>
          <a:pPr>
            <a:defRPr lang="zh-CN" sz="1000" b="0" i="0" u="none" strike="noStrike" kern="1200" baseline="0">
              <a:solidFill>
                <a:schemeClr val="tx1"/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>
        <c:manualLayout>
          <c:layoutTarget val="inner"/>
          <c:xMode val="edge"/>
          <c:yMode val="edge"/>
          <c:x val="0.115753557121149"/>
          <c:y val="0.365522640710961"/>
          <c:w val="0.826511949164249"/>
          <c:h val="0.612797291578502"/>
        </c:manualLayout>
      </c:layout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4"/>
            <c:bubble3D val="0"/>
            <c:spPr>
              <a:gradFill>
                <a:gsLst>
                  <a:gs pos="100000">
                    <a:schemeClr val="accent5"/>
                  </a:gs>
                  <a:gs pos="0">
                    <a:schemeClr val="accent5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5">
                        <a:lumMod val="75000"/>
                      </a:schemeClr>
                    </a:gs>
                    <a:gs pos="0">
                      <a:schemeClr val="accent5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Pt>
            <c:idx val="5"/>
            <c:bubble3D val="0"/>
            <c:spPr>
              <a:gradFill>
                <a:gsLst>
                  <a:gs pos="100000">
                    <a:schemeClr val="accent6"/>
                  </a:gs>
                  <a:gs pos="0">
                    <a:schemeClr val="accent6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6">
                        <a:lumMod val="75000"/>
                      </a:schemeClr>
                    </a:gs>
                    <a:gs pos="0">
                      <a:schemeClr val="accent6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Lbls>
            <c:dLbl>
              <c:idx val="0"/>
              <c:layout>
                <c:manualLayout>
                  <c:x val="-0.208245797690257"/>
                  <c:y val="-0.0356061697956216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0.192287838975576"/>
                  <c:y val="0.016557278473896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07291854650271"/>
                  <c:y val="-0.116992867790304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0.432334484273819"/>
                  <c:y val="0.156968811849895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[收入预算图.xlsx]Sheet1!$B$2:$B$7</c:f>
              <c:strCache>
                <c:ptCount val="6"/>
                <c:pt idx="0">
                  <c:v>社会保障和就业支出</c:v>
                </c:pt>
                <c:pt idx="1">
                  <c:v>卫生健康支出</c:v>
                </c:pt>
                <c:pt idx="3">
                  <c:v>住房保障支出</c:v>
                </c:pt>
                <c:pt idx="4">
                  <c:v>城乡社区支出</c:v>
                </c:pt>
              </c:strCache>
            </c:strRef>
          </c:cat>
          <c:val>
            <c:numRef>
              <c:f>[收入预算图.xlsx]Sheet1!$C$2:$C$7</c:f>
              <c:numCache>
                <c:formatCode>0.00%</c:formatCode>
                <c:ptCount val="6"/>
                <c:pt idx="0">
                  <c:v>0.0731000000000001</c:v>
                </c:pt>
                <c:pt idx="1">
                  <c:v>0.0306</c:v>
                </c:pt>
                <c:pt idx="3">
                  <c:v>0.0537</c:v>
                </c:pt>
                <c:pt idx="4">
                  <c:v>0.8426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3735</Words>
  <Characters>4000</Characters>
  <Lines>0</Lines>
  <Paragraphs>0</Paragraphs>
  <TotalTime>0</TotalTime>
  <ScaleCrop>false</ScaleCrop>
  <LinksUpToDate>false</LinksUpToDate>
  <CharactersWithSpaces>4006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Administrator</cp:lastModifiedBy>
  <dcterms:modified xsi:type="dcterms:W3CDTF">2024-06-15T09:54:07Z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4B589B6B695C4DC7952F61D9C4C27BB6_13</vt:lpwstr>
  </property>
</Properties>
</file>