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岳阳市君山区人力资源和社会保障局</w:t>
      </w:r>
    </w:p>
    <w:p>
      <w:pPr>
        <w:spacing w:line="570" w:lineRule="atLeast"/>
        <w:jc w:val="center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2024年部门预算公开</w:t>
      </w:r>
    </w:p>
    <w:p>
      <w:pPr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u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u w:val="none"/>
          <w:shd w:val="clear" w:color="auto" w:fill="FFFFFF"/>
          <w:lang w:val="en-US" w:eastAsia="zh-CN"/>
        </w:rPr>
        <w:t>（一）职能职责</w:t>
      </w:r>
    </w:p>
    <w:p>
      <w:pPr>
        <w:widowControl/>
        <w:spacing w:line="600" w:lineRule="exact"/>
        <w:ind w:firstLine="627" w:firstLineChars="196"/>
        <w:jc w:val="left"/>
        <w:rPr>
          <w:rFonts w:eastAsia="仿宋_GB2312"/>
          <w:color w:val="auto"/>
          <w:sz w:val="32"/>
          <w:szCs w:val="32"/>
          <w:u w:val="none"/>
        </w:rPr>
      </w:pPr>
      <w:r>
        <w:rPr>
          <w:rFonts w:hint="eastAsia" w:eastAsia="仿宋_GB2312"/>
          <w:color w:val="auto"/>
          <w:sz w:val="32"/>
          <w:szCs w:val="32"/>
          <w:u w:val="none"/>
        </w:rPr>
        <w:t>主要负责贯彻执行国家人力资源和社会保障法规和</w:t>
      </w:r>
      <w:r>
        <w:rPr>
          <w:rFonts w:hint="eastAsia" w:eastAsia="仿宋_GB2312"/>
          <w:color w:val="auto"/>
          <w:sz w:val="32"/>
          <w:szCs w:val="32"/>
          <w:u w:val="none"/>
          <w:lang w:eastAsia="zh-CN"/>
        </w:rPr>
        <w:t>政</w:t>
      </w:r>
      <w:r>
        <w:rPr>
          <w:rFonts w:hint="eastAsia" w:eastAsia="仿宋_GB2312"/>
          <w:color w:val="auto"/>
          <w:sz w:val="32"/>
          <w:szCs w:val="32"/>
          <w:u w:val="none"/>
        </w:rPr>
        <w:t>策，对全区人力资源和社会保障工作进行综合管理、监督指导和协调服务；负责全区事业单位人事管理；完善公共就业服务体系，抓好就业培训与就业援助，促进就业再就业；建立覆盖城乡的社会保障体系，负责全区社会保险基金的发放和管理；负责劳动保障监察和劳动人事争议仲裁，维护劳资双方合法权益；做好社会维稳工作；承办区委、区政府交办的工作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u w:val="none"/>
          <w:shd w:val="clear" w:color="auto" w:fill="FFFFFF"/>
          <w:lang w:val="en-US" w:eastAsia="zh-CN"/>
        </w:rPr>
        <w:t>（二）机构设置</w:t>
      </w:r>
    </w:p>
    <w:p>
      <w:pPr>
        <w:spacing w:line="570" w:lineRule="atLeast"/>
        <w:ind w:firstLine="640" w:firstLineChars="200"/>
        <w:rPr>
          <w:rFonts w:hint="eastAsia" w:asciiTheme="minorEastAsia" w:hAnsiTheme="minorEastAsia" w:cstheme="minorEastAsia"/>
          <w:sz w:val="28"/>
          <w:szCs w:val="28"/>
          <w:highlight w:val="none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  <w:lang w:val="en-US" w:eastAsia="zh-CN"/>
        </w:rPr>
        <w:t>岳阳市君山区人力资源和社会保障局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</w:rPr>
        <w:t>内设机构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</w:rPr>
        <w:t>个，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  <w:lang w:eastAsia="zh-CN"/>
        </w:rPr>
        <w:t>下设二级机构参公单位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  <w:lang w:val="en-US" w:eastAsia="zh-CN"/>
        </w:rPr>
        <w:t>2个，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</w:rPr>
        <w:t>事业单位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</w:rPr>
        <w:t>个。内设机构包括：</w:t>
      </w:r>
      <w:r>
        <w:rPr>
          <w:rFonts w:hint="eastAsia" w:eastAsia="仿宋_GB2312"/>
          <w:color w:val="auto"/>
          <w:sz w:val="32"/>
          <w:szCs w:val="32"/>
          <w:u w:val="none"/>
        </w:rPr>
        <w:t>办公室</w:t>
      </w:r>
      <w:r>
        <w:rPr>
          <w:rFonts w:hint="eastAsia" w:eastAsia="仿宋_GB2312"/>
          <w:color w:val="auto"/>
          <w:sz w:val="32"/>
          <w:szCs w:val="32"/>
          <w:u w:val="none"/>
          <w:lang w:eastAsia="zh-CN"/>
        </w:rPr>
        <w:t>（政工人事股、行政审批股）</w:t>
      </w:r>
      <w:r>
        <w:rPr>
          <w:rFonts w:hint="eastAsia" w:eastAsia="仿宋_GB2312"/>
          <w:color w:val="auto"/>
          <w:sz w:val="32"/>
          <w:szCs w:val="32"/>
          <w:u w:val="none"/>
        </w:rPr>
        <w:t>、社会保险综合股</w:t>
      </w:r>
      <w:r>
        <w:rPr>
          <w:rFonts w:hint="eastAsia" w:eastAsia="仿宋_GB2312"/>
          <w:color w:val="auto"/>
          <w:sz w:val="32"/>
          <w:szCs w:val="32"/>
          <w:u w:val="none"/>
          <w:lang w:eastAsia="zh-CN"/>
        </w:rPr>
        <w:t>（信访维稳办公室）</w:t>
      </w:r>
      <w:r>
        <w:rPr>
          <w:rFonts w:hint="eastAsia" w:eastAsia="仿宋_GB2312"/>
          <w:color w:val="auto"/>
          <w:sz w:val="32"/>
          <w:szCs w:val="32"/>
          <w:u w:val="none"/>
        </w:rPr>
        <w:t>、就业</w:t>
      </w:r>
      <w:r>
        <w:rPr>
          <w:rFonts w:hint="eastAsia" w:eastAsia="仿宋_GB2312"/>
          <w:color w:val="auto"/>
          <w:sz w:val="32"/>
          <w:szCs w:val="32"/>
          <w:u w:val="none"/>
          <w:lang w:eastAsia="zh-CN"/>
        </w:rPr>
        <w:t>创业</w:t>
      </w:r>
      <w:r>
        <w:rPr>
          <w:rFonts w:hint="eastAsia" w:eastAsia="仿宋_GB2312"/>
          <w:color w:val="auto"/>
          <w:sz w:val="32"/>
          <w:szCs w:val="32"/>
          <w:u w:val="none"/>
        </w:rPr>
        <w:t>和</w:t>
      </w:r>
      <w:r>
        <w:rPr>
          <w:rFonts w:hint="eastAsia" w:eastAsia="仿宋_GB2312"/>
          <w:color w:val="auto"/>
          <w:sz w:val="32"/>
          <w:szCs w:val="32"/>
          <w:u w:val="none"/>
          <w:lang w:eastAsia="zh-CN"/>
        </w:rPr>
        <w:t>失业保险</w:t>
      </w:r>
      <w:r>
        <w:rPr>
          <w:rFonts w:hint="eastAsia" w:eastAsia="仿宋_GB2312"/>
          <w:color w:val="auto"/>
          <w:sz w:val="32"/>
          <w:szCs w:val="32"/>
          <w:u w:val="none"/>
        </w:rPr>
        <w:t>股、基金监督股、事业单位管理股</w:t>
      </w:r>
      <w:r>
        <w:rPr>
          <w:rFonts w:hint="eastAsia" w:eastAsia="仿宋_GB2312"/>
          <w:color w:val="auto"/>
          <w:sz w:val="32"/>
          <w:szCs w:val="32"/>
          <w:u w:val="none"/>
          <w:lang w:eastAsia="zh-CN"/>
        </w:rPr>
        <w:t>（专技职称股）</w:t>
      </w:r>
      <w:r>
        <w:rPr>
          <w:rFonts w:hint="eastAsia" w:eastAsia="仿宋_GB2312"/>
          <w:color w:val="auto"/>
          <w:sz w:val="32"/>
          <w:szCs w:val="32"/>
          <w:u w:val="none"/>
        </w:rPr>
        <w:t>、工资福利和</w:t>
      </w:r>
      <w:r>
        <w:rPr>
          <w:rFonts w:hint="eastAsia" w:eastAsia="仿宋_GB2312"/>
          <w:color w:val="auto"/>
          <w:sz w:val="32"/>
          <w:szCs w:val="32"/>
          <w:u w:val="none"/>
          <w:lang w:eastAsia="zh-CN"/>
        </w:rPr>
        <w:t>考核奖惩</w:t>
      </w:r>
      <w:r>
        <w:rPr>
          <w:rFonts w:hint="eastAsia" w:eastAsia="仿宋_GB2312"/>
          <w:color w:val="auto"/>
          <w:sz w:val="32"/>
          <w:szCs w:val="32"/>
          <w:u w:val="none"/>
        </w:rPr>
        <w:t>股、政策法规股</w:t>
      </w:r>
      <w:r>
        <w:rPr>
          <w:rFonts w:hint="eastAsia" w:eastAsia="仿宋_GB2312"/>
          <w:color w:val="auto"/>
          <w:sz w:val="32"/>
          <w:szCs w:val="32"/>
          <w:u w:val="none"/>
          <w:lang w:eastAsia="zh-CN"/>
        </w:rPr>
        <w:t>、财务股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none"/>
          <w:shd w:val="clear" w:color="auto" w:fill="FFFFFF"/>
        </w:rPr>
        <w:t>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none"/>
          <w:shd w:val="clear" w:color="auto" w:fill="FFFFFF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none"/>
          <w:shd w:val="clear" w:color="auto" w:fill="FFFFFF"/>
        </w:rPr>
        <w:t>个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none"/>
          <w:shd w:val="clear" w:color="auto" w:fill="FFFFFF"/>
          <w:lang w:val="en-US" w:eastAsia="zh-CN"/>
        </w:rPr>
        <w:t>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none"/>
          <w:shd w:val="clear" w:color="auto" w:fill="FFFFFF"/>
        </w:rPr>
        <w:t>室。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none"/>
          <w:shd w:val="clear" w:color="auto" w:fill="FFFFFF"/>
          <w:lang w:eastAsia="zh-CN"/>
        </w:rPr>
        <w:t>参公单位包括：君山区社会保险服务中心、君山区就业服务中心；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none"/>
          <w:shd w:val="clear" w:color="auto" w:fill="FFFFFF"/>
          <w:lang w:val="en-US" w:eastAsia="zh-CN"/>
        </w:rPr>
        <w:t>事业单位包括：</w:t>
      </w:r>
      <w:r>
        <w:rPr>
          <w:rFonts w:hint="eastAsia" w:eastAsia="仿宋_GB2312"/>
          <w:color w:val="auto"/>
          <w:sz w:val="32"/>
          <w:szCs w:val="32"/>
          <w:u w:val="none"/>
          <w:lang w:val="en-US" w:eastAsia="zh-CN"/>
        </w:rPr>
        <w:t>人力资源服务中心、人力资源和社会保障网络服务中心、工伤保险服务中心、劳动人事争议仲裁院、劳动保障监察大队、人事考试中心。</w:t>
      </w:r>
      <w:r>
        <w:rPr>
          <w:rFonts w:hint="eastAsia" w:asciiTheme="minorEastAsia" w:hAnsiTheme="minorEastAsia" w:cstheme="minorEastAsia"/>
          <w:color w:val="auto"/>
          <w:sz w:val="28"/>
          <w:szCs w:val="28"/>
          <w:highlight w:val="none"/>
          <w:u w:val="none"/>
          <w:lang w:val="en-US" w:eastAsia="zh-CN"/>
        </w:rPr>
        <w:t xml:space="preserve">  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本部门预算为汇总预算，纳入2024年部门预算编制范围的预算单位包括：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1、君山区人力资源和社会保障局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2、君山区社会保险服务中心</w:t>
      </w:r>
    </w:p>
    <w:p>
      <w:pPr>
        <w:spacing w:line="570" w:lineRule="atLeast"/>
        <w:ind w:firstLine="640" w:firstLineChars="200"/>
        <w:rPr>
          <w:rFonts w:hint="default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3、君山区就业服务中心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</w:rPr>
        <w:t>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部门2024年没有政府性基金预算拨款、国有资本经营预算收入和纳入专户管理的非税收入拨款收入，也没有使用政府性基金预算拨款、国有资本经营预算收入和纳入专户管理的非税收入拨款安排的支出，所以部门预算公开表15、16、17、18、19表均为空。</w:t>
      </w:r>
    </w:p>
    <w:p>
      <w:pPr>
        <w:numPr>
          <w:ilvl w:val="0"/>
          <w:numId w:val="1"/>
        </w:num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包括一般公共预算、政府性基金、国有资本经营预算等财政拨款收入，以及经营收入、事业收入等单位资金。2024年本部门收入预算14545.09万元，其中，一般公共预算拨款14545.09万元，政府性基金预算资金0.00万元(所以部门预算公开表15-17表为空)，国有资本经营预算资金0.00万元(所以部门预算公开表18表为空)，财政专户管理资金0.00万元(所以部门预算公开表19表为空)，上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级补助收入资金0.00万元，事业单位经营收入资金0.00万元，上年结转结余0.00万元。收入较去年增加3098.18万元，上升27.07%。主要原因是2024年人员调入和</w:t>
      </w:r>
      <w:r>
        <w:rPr>
          <w:rFonts w:hint="eastAsia" w:eastAsia="仿宋_GB2312"/>
          <w:sz w:val="32"/>
          <w:szCs w:val="32"/>
        </w:rPr>
        <w:t>对社会保障基金</w:t>
      </w:r>
      <w:r>
        <w:rPr>
          <w:rFonts w:hint="eastAsia" w:eastAsia="仿宋_GB2312"/>
          <w:sz w:val="32"/>
          <w:szCs w:val="32"/>
          <w:lang w:eastAsia="zh-CN"/>
        </w:rPr>
        <w:t>的</w:t>
      </w:r>
      <w:r>
        <w:rPr>
          <w:rFonts w:hint="eastAsia" w:eastAsia="仿宋_GB2312"/>
          <w:sz w:val="32"/>
          <w:szCs w:val="32"/>
        </w:rPr>
        <w:t>补助</w:t>
      </w:r>
      <w:r>
        <w:rPr>
          <w:rFonts w:hint="eastAsia" w:eastAsia="仿宋_GB2312"/>
          <w:sz w:val="32"/>
          <w:szCs w:val="32"/>
          <w:lang w:eastAsia="zh-CN"/>
        </w:rPr>
        <w:t>增加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，从而导致一般公共预算拨款增加。</w:t>
      </w:r>
    </w:p>
    <w:p>
      <w:pPr>
        <w:numPr>
          <w:ilvl w:val="0"/>
          <w:numId w:val="0"/>
        </w:numPr>
        <w:spacing w:line="570" w:lineRule="atLeast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drawing>
          <wp:inline distT="0" distB="0" distL="114300" distR="114300">
            <wp:extent cx="4886325" cy="2667000"/>
            <wp:effectExtent l="6350" t="6350" r="22225" b="12700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numPr>
          <w:ilvl w:val="0"/>
          <w:numId w:val="1"/>
        </w:numPr>
        <w:spacing w:line="570" w:lineRule="atLeast"/>
        <w:ind w:left="0" w:leftChars="0"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2024年本部门支出预算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14545.09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万元，其中：社会保障和就业支出14439.34万元，卫生健康支出39.89万元，住房保障支出65.86万元。支出较上年增加3098.18万元，上升27.07%。主要原因是2024年人员调入和</w:t>
      </w:r>
      <w:r>
        <w:rPr>
          <w:rFonts w:hint="eastAsia" w:eastAsia="仿宋_GB2312"/>
          <w:sz w:val="32"/>
          <w:szCs w:val="32"/>
        </w:rPr>
        <w:t>对社会保障基金</w:t>
      </w:r>
      <w:r>
        <w:rPr>
          <w:rFonts w:hint="eastAsia" w:eastAsia="仿宋_GB2312"/>
          <w:sz w:val="32"/>
          <w:szCs w:val="32"/>
          <w:lang w:eastAsia="zh-CN"/>
        </w:rPr>
        <w:t>的</w:t>
      </w:r>
      <w:r>
        <w:rPr>
          <w:rFonts w:hint="eastAsia" w:eastAsia="仿宋_GB2312"/>
          <w:sz w:val="32"/>
          <w:szCs w:val="32"/>
        </w:rPr>
        <w:t>补助</w:t>
      </w:r>
      <w:r>
        <w:rPr>
          <w:rFonts w:hint="eastAsia" w:eastAsia="仿宋_GB2312"/>
          <w:sz w:val="32"/>
          <w:szCs w:val="32"/>
          <w:lang w:eastAsia="zh-CN"/>
        </w:rPr>
        <w:t>增加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，从而导致一般公共预算拨款增加。</w:t>
      </w:r>
    </w:p>
    <w:p>
      <w:pPr>
        <w:numPr>
          <w:ilvl w:val="0"/>
          <w:numId w:val="0"/>
        </w:numPr>
        <w:spacing w:line="570" w:lineRule="atLeast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/>
          <w:lang w:val="en-US" w:eastAsia="zh-CN"/>
        </w:rPr>
        <w:t xml:space="preserve">      </w:t>
      </w:r>
      <w:r>
        <w:drawing>
          <wp:inline distT="0" distB="0" distL="114300" distR="114300">
            <wp:extent cx="4596765" cy="26962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2024年本部门一般公共预算拨款支出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14545.09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万元，其中：社会保障和就业支出14439.34万元，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占99.28%；卫生健康支出39.89万元，占0.27%；住房保障支出65.86万元，占0.45%。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具体安排情况如下：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2024年本部门基本支出预算数870.73万元，主要是为保障部门正常运转、完成日常工作任务而发生的各项支出，包括用于基本工资、津贴补贴等人员经费以及办公费、印刷费、水电费、办公设备购置等公用经费。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2024年本部门项目支出预算13674.36万元，主要是本部门为完成特定工作任务或事业发展目标而发生的支出，包括有关事业发展专项、专项业务费、基本建设支出等，其中：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社会保障和就业支出13674.36万元，主要用于机关事业单位基本养老保险基金的补助、机关事业单位职业年金缴费的补助、企业职工基本养老保险基金的补助、城乡居民养老保险基金的补助、社会保险补贴工作、创新创业工作、事业单位招考工作、社保基金督查、就业补助资金区级配套工作等方面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2024年度本部门无政府性基金安排的支出，所以公开的附件15-17表（政府性基金预算）为空。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2024年本部门机关本级、君山区社会保险服务中心、君山区就业服务中心等3家行政事业单位的机关运行经费94.48万元，比上年预算下降2%。主要原因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厉行节约，压缩了公用经费预算支出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部门机关本级、君山区社会保险服务中心、君山区就业服务中心等3家行政事业单位“三公”经费预算数为2.62万元，其中，公务接待费2.62万元，公务用车购置及运行费0万元（其中，公务用车购置费0万元，公务用车运行费0万元），因公出国（境）费0万元。2024年“三公”经费预算较2023年减少1.38万元，主要原因是严格落实中央“八项规定”精神和“过紧日子”的要求，从严控制“三公”经费支出。</w:t>
      </w:r>
      <w:bookmarkStart w:id="0" w:name="START_IS_ZERO_06_2"/>
      <w:bookmarkEnd w:id="0"/>
      <w:bookmarkStart w:id="1" w:name="DIS_MARK_IS_ZERO_06_2"/>
      <w:bookmarkEnd w:id="1"/>
      <w:bookmarkStart w:id="2" w:name="END_IS_ZERO_06_2"/>
      <w:bookmarkEnd w:id="2"/>
      <w:bookmarkStart w:id="3" w:name="END_IS_ZERO_06_1"/>
      <w:bookmarkEnd w:id="3"/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2024年本部门会议费预算0万元，拟召开0次会议，人数0人；培训费预算0万元，拟开展0次培训，人数0人；2024年度本部门未计划举办节庆、晚会、论坛、赛事活动，经费预算0万元。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2024年本部门政府采购预算总额278.30万元，其中，货物类采购预算148.30万元；工程类采购预算0万元；服务类采购预算130万元。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部门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车0辆，特种专业技术用车0辆，其他按照规定配备的公务用车0辆；新增配备单位价值50万元以上设备0台，其中，单位价值100万元以上设备0台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本部门所有支出实行绩效目标管理。纳入2024年部门整体支出绩效目标的金额为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14545.09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万元，其中，基本支出870.73万元，项目支出13674.36万元，具体绩效目标详见文尾附表中部门预算公开表21-2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2表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spacing w:line="570" w:lineRule="atLeast"/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Theme="minorEastAsia" w:hAnsiTheme="minorEastAsia" w:eastAsiaTheme="minorEastAsia" w:cstheme="minorEastAsia"/>
          <w:sz w:val="28"/>
          <w:szCs w:val="28"/>
        </w:rPr>
      </w:pPr>
      <w:bookmarkStart w:id="4" w:name="_GoBack"/>
      <w:bookmarkEnd w:id="4"/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附件：岳阳市君山区人力资源和社会保障局2024年部门预算公开表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both"/>
        <w:textAlignment w:val="center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250E854"/>
    <w:multiLevelType w:val="singleLevel"/>
    <w:tmpl w:val="A250E854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0MzkxYTllNGUzYWMwZmMyNjFiNTViYzNiYzdlYTAifQ=="/>
  </w:docVars>
  <w:rsids>
    <w:rsidRoot w:val="637274E6"/>
    <w:rsid w:val="010D1261"/>
    <w:rsid w:val="05974297"/>
    <w:rsid w:val="066547B5"/>
    <w:rsid w:val="07155C37"/>
    <w:rsid w:val="0794481D"/>
    <w:rsid w:val="0BC81D71"/>
    <w:rsid w:val="0BD240F7"/>
    <w:rsid w:val="0C923A83"/>
    <w:rsid w:val="0E5B42C5"/>
    <w:rsid w:val="0EA0533A"/>
    <w:rsid w:val="112B4160"/>
    <w:rsid w:val="11A2545A"/>
    <w:rsid w:val="129168E1"/>
    <w:rsid w:val="167C1082"/>
    <w:rsid w:val="16FB76F0"/>
    <w:rsid w:val="171362D3"/>
    <w:rsid w:val="1AB232E4"/>
    <w:rsid w:val="1C6F6CFF"/>
    <w:rsid w:val="1C744CBF"/>
    <w:rsid w:val="1ECC4DAF"/>
    <w:rsid w:val="1F8F2DF1"/>
    <w:rsid w:val="20CE0ED9"/>
    <w:rsid w:val="232333DF"/>
    <w:rsid w:val="27BD54F3"/>
    <w:rsid w:val="2C8B2374"/>
    <w:rsid w:val="2CD84711"/>
    <w:rsid w:val="2D3A78E3"/>
    <w:rsid w:val="2E7D4415"/>
    <w:rsid w:val="315515A3"/>
    <w:rsid w:val="328F1D91"/>
    <w:rsid w:val="4251054E"/>
    <w:rsid w:val="436D70FC"/>
    <w:rsid w:val="485C0954"/>
    <w:rsid w:val="4884062D"/>
    <w:rsid w:val="4AF62C56"/>
    <w:rsid w:val="4DBA372C"/>
    <w:rsid w:val="4E511DD4"/>
    <w:rsid w:val="4EE728E7"/>
    <w:rsid w:val="51B62990"/>
    <w:rsid w:val="522E63FE"/>
    <w:rsid w:val="5B525B22"/>
    <w:rsid w:val="5BCD52BC"/>
    <w:rsid w:val="5C0D4977"/>
    <w:rsid w:val="5FFE3B4B"/>
    <w:rsid w:val="621B5576"/>
    <w:rsid w:val="62CB7F2F"/>
    <w:rsid w:val="637274E6"/>
    <w:rsid w:val="64AC6260"/>
    <w:rsid w:val="68675E30"/>
    <w:rsid w:val="6D6656CC"/>
    <w:rsid w:val="6DE7565E"/>
    <w:rsid w:val="6EA43AB0"/>
    <w:rsid w:val="71FC7F37"/>
    <w:rsid w:val="73626AED"/>
    <w:rsid w:val="78CC0C1A"/>
    <w:rsid w:val="78D21E77"/>
    <w:rsid w:val="7C366B53"/>
    <w:rsid w:val="7C7F7F1A"/>
    <w:rsid w:val="7C86358B"/>
    <w:rsid w:val="7E8C1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Book1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G:\2024&#24180;&#37096;&#38376;&#39044;&#31639;&#20844;&#24320;&#65288;&#21333;&#20301;&#21457;&#26469;&#30340;&#65289;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8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</c:title>
    <c:autoTitleDeleted val="0"/>
    <c:plotArea>
      <c:layout/>
      <c:pieChart>
        <c:varyColors val="1"/>
        <c:ser>
          <c:idx val="0"/>
          <c:order val="0"/>
          <c:explosion val="0"/>
          <c:dPt>
            <c:idx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[Book1.xlsx]Sheet1!$A$6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f>[Book1.xlsx]Sheet1!$A$7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700737532808399"/>
          <c:y val="0.0547878390201225"/>
          <c:w val="0.236068022747157"/>
          <c:h val="0.307090988626422"/>
        </c:manualLayout>
      </c:layout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>
        <c:manualLayout>
          <c:layoutTarget val="inner"/>
          <c:xMode val="edge"/>
          <c:yMode val="edge"/>
          <c:x val="0.0784555877883686"/>
          <c:y val="0.305576748542702"/>
          <c:w val="0.826511949164249"/>
          <c:h val="0.612797291578502"/>
        </c:manualLayout>
      </c:layout>
      <c:pie3DChart>
        <c:varyColors val="1"/>
        <c:ser>
          <c:idx val="0"/>
          <c:order val="0"/>
          <c:spPr/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Lbls>
            <c:dLbl>
              <c:idx val="1"/>
              <c:layout>
                <c:manualLayout>
                  <c:x val="-0.178201409034397"/>
                  <c:y val="0.0671219971738106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0.209283050145048"/>
                  <c:y val="0.0459255770136599"/>
                </c:manualLayout>
              </c:layout>
              <c:numFmt formatCode="0.00%" sourceLinked="0"/>
              <c:spPr>
                <a:gradFill>
                  <a:gsLst>
                    <a:gs pos="0">
                      <a:srgbClr val="FBFB11"/>
                    </a:gs>
                    <a:gs pos="100000">
                      <a:srgbClr val="838309"/>
                    </a:gs>
                  </a:gsLst>
                  <a:lin ang="5400000" scaled="0"/>
                </a:gradFill>
                <a:ln>
                  <a:gradFill>
                    <a:gsLst>
                      <a:gs pos="0">
                        <a:schemeClr val="accent1">
                          <a:lumMod val="5000"/>
                          <a:lumOff val="95000"/>
                        </a:schemeClr>
                      </a:gs>
                      <a:gs pos="74000">
                        <a:schemeClr val="accent1">
                          <a:lumMod val="45000"/>
                          <a:lumOff val="55000"/>
                        </a:schemeClr>
                      </a:gs>
                      <a:gs pos="83000">
                        <a:schemeClr val="accent1">
                          <a:lumMod val="45000"/>
                          <a:lumOff val="55000"/>
                        </a:schemeClr>
                      </a:gs>
                      <a:gs pos="100000">
                        <a:schemeClr val="accent1">
                          <a:lumMod val="30000"/>
                          <a:lumOff val="70000"/>
                        </a:schemeClr>
                      </a:gs>
                    </a:gsLst>
                    <a:lin ang="5400000" scaled="1"/>
                  </a:gra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
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gradFill>
                <a:gsLst>
                  <a:gs pos="0">
                    <a:srgbClr val="FBFB11"/>
                  </a:gs>
                  <a:gs pos="100000">
                    <a:srgbClr val="838309"/>
                  </a:gs>
                </a:gsLst>
                <a:lin ang="5400000" scaled="0"/>
              </a:gradFill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0"/>
            <c:showCatName val="1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[收入预算图.xlsx]Sheet1!$B$3:$B$5</c:f>
              <c:strCache>
                <c:ptCount val="3"/>
                <c:pt idx="0">
                  <c:v>社会保障和就业支出</c:v>
                </c:pt>
                <c:pt idx="1">
                  <c:v>卫生健康支出</c:v>
                </c:pt>
                <c:pt idx="2">
                  <c:v>住房保障支出</c:v>
                </c:pt>
              </c:strCache>
            </c:strRef>
          </c:cat>
          <c:val>
            <c:numRef>
              <c:f>[收入预算图.xlsx]Sheet1!$C$3:$C$5</c:f>
              <c:numCache>
                <c:formatCode>0.00%</c:formatCode>
                <c:ptCount val="3"/>
                <c:pt idx="0">
                  <c:v>0.9928</c:v>
                </c:pt>
                <c:pt idx="1">
                  <c:v>0.0027</c:v>
                </c:pt>
                <c:pt idx="2">
                  <c:v>0.0045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 w="12700" cmpd="sng">
          <a:solidFill>
            <a:schemeClr val="accent1"/>
          </a:solidFill>
          <a:prstDash val="solid"/>
        </a:ln>
        <a:effectLst/>
      </c:spPr>
    </c:plotArea>
    <c:legend>
      <c:legendPos val="t"/>
      <c:layout>
        <c:manualLayout>
          <c:xMode val="edge"/>
          <c:yMode val="edge"/>
          <c:x val="0.0918635170603675"/>
          <c:y val="0.095148374941121"/>
          <c:w val="0.859925404061334"/>
          <c:h val="0.119170984455959"/>
        </c:manualLayout>
      </c:layout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3749</Words>
  <Characters>4068</Characters>
  <Lines>0</Lines>
  <Paragraphs>0</Paragraphs>
  <TotalTime>13</TotalTime>
  <ScaleCrop>false</ScaleCrop>
  <LinksUpToDate>false</LinksUpToDate>
  <CharactersWithSpaces>4076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Administrator</cp:lastModifiedBy>
  <dcterms:modified xsi:type="dcterms:W3CDTF">2024-06-22T01:45:07Z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60BC7339106041DA91BAB39D0CD3151D_13</vt:lpwstr>
  </property>
</Properties>
</file>