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岳阳市君山区社会保险服务中心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部门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（一）职能职责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1.负责宣传、贯彻社会养老保险法律、法规和政策。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2.负责养老保险基金的筹集、支付和管理工作。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3.负责参保单位和人员的登记、权益记录、关系转移接续和待遇核定工作。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4.负责确保离退休人员养老金及其它养老保险待遇按时足额发放。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5.负责养老保险基金风险防控工作，确保基金安全。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6.负责指导乡镇（办）养老保险经办服务工作。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7.负责政策咨询和群众来信来访工作。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8.完成区委、区政府和区人力资源社会保障局交给的其他任务。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（二）机构设置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.办公室。负责单位日常事务管理、协调工作；负责文件收发、政策精神的上传下达工作；负责统计报表的编制、报送工作；负责信息系统日常维护和升级管理；负责设置系统操作人员的权限；负责单位会务、学习、接待、活动组织等工作；负责单位办公用品采购、安全生产和爱国卫生等后勤保障工作；负责单位办公设备添置、更换以及网络、通信维护等工作；负责单位档案管理、印鉴管理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.财务股。负责养老保险基金的会计核算及预决算工作，编制基金会计报表；负责基金对账，实行财政和社保对基金的共同监督，确保基金安全；负责按时足额拨付离退休人员养老金，维护社会稳定；负责异动人员养老保险基金的转入、转出工作，并接受异动人员对基金转移情况的咨询和查询；负责单位工作经费的核算工作，确保工作正常运转；负责协调与财政，银行等部门的工作，落实收支两条线规定，确保基金在各环节安全有序，快速流转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.企业养老保险业务股。负责贯彻执行养老保险政策；负责所有新增参保企业和个人的申请、登记、录入工作；负责跨省转移人员的接收和录入工作；负责参保企业和个人网上经办的申请、登记工作；负责参保企业的变更和注销工作。负责办理企业职工基本养老保险个人账户的建立、转移、支付手续；负责参保企业职工的档案及有关材料的审核，确定参保人员的基本信息准确无误；负责企业参保人员信息修改工作；负责企业养老保险年度缴费工资基数的审核、录入工作；负责在职职工个人重复缴费的退费工作；负责参保职工个人帐户年度计息工作；负责个体工商户、灵活就业人员委托银行代扣代缴基本养老保险费工作；负责个缴人员年度缴费基数的确定、调整和缴费工作；负责个缴人员网上缴费工作；负责个缴人员养老关系转移接续工作。负责养老保险费征缴票据的管理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4.退休审核股。负责退休政策的宣传和咨询解释工作；负责符合退休条件的参保人员的档案审核、信息修改和退休待遇核定工作；负责退休人员的待遇调整、变更工作；负责代发项目的录入、调整和审核工作。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5.退休管理股。负责企业离退休人员基本养老金的确认及发放工作；负责离退休人员领取养老金资格认证工作，防止虚报冒领。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.城乡居民养老保险股。负责贯彻城乡居民社会养老保险政策；负责配合上级主管部门开展城乡居民社会养老保险有关工作的调研；负责全区城乡居民养老保险统计报表上报工作；负责督促指导乡镇（办）开展城乡居民社会养老保险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.机关事业养老保险股。负责机关事业单位养老保险业务经办工作；负责机关事业退休人员基本养老金的确认及发放工作；负责机关事业养老保险政策的宣传和咨询解释工作；负责机关事业单位职业年金的经办工作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 xml:space="preserve"> 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bookmarkStart w:id="0" w:name="DEPT_COMPOSE"/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君山区社会保险服务中心只有本级，没有其他二级预算单位，因此，纳入2024年部门预算编制范围的只有君山区社会保险服务中心本级。</w:t>
      </w:r>
      <w:bookmarkEnd w:id="0"/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包括一般公共预算、政府性基金、国有资本经营预算等财政拨款收入，以及经营收入、事业收入等单位资金。2024年本单位收入预算13298.21万元，其中，一般公共预算拨款13298.21万元，政府性基金预算资金0.00万元(所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部门预算公开表15-17表为空)，国有资本经营预算资金0.00万元(所以部门预算公开表18表为空)，财政专户管理资金0.00万元(所以部门预算公开表19表为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空)，上级补助收入资金0.00万元，事业单位经营收入资金0.00万元，上年结转结余0.00万元。收入较上年增加7375.76万元，上升124.54%。主要原因是</w:t>
      </w:r>
      <w:r>
        <w:rPr>
          <w:rFonts w:hint="eastAsia" w:eastAsia="仿宋_GB2312"/>
          <w:sz w:val="32"/>
          <w:szCs w:val="32"/>
        </w:rPr>
        <w:t>对社会保障基金补助</w:t>
      </w:r>
      <w:r>
        <w:rPr>
          <w:rFonts w:hint="eastAsia" w:eastAsia="仿宋_GB2312"/>
          <w:sz w:val="32"/>
          <w:szCs w:val="32"/>
          <w:lang w:eastAsia="zh-CN"/>
        </w:rPr>
        <w:t>纳入预算以及增加了</w:t>
      </w:r>
      <w:r>
        <w:rPr>
          <w:rFonts w:hint="eastAsia" w:eastAsia="仿宋_GB2312"/>
          <w:sz w:val="32"/>
          <w:szCs w:val="32"/>
          <w:lang w:val="en-US" w:eastAsia="zh-CN"/>
        </w:rPr>
        <w:t>6名工作人员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，从而导致一般公共预算拨款增加。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spacing w:line="570" w:lineRule="atLeast"/>
        <w:ind w:left="0" w:leftChars="0"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2024年本单位支出预算13298.21万元，其中：社会保障和就业支出13259.56万元，卫生健康支出14.59万元，住房保障支出24.06万元。支出较上年增加7375.76万元，上升124.54%。主要原因是</w:t>
      </w:r>
      <w:r>
        <w:rPr>
          <w:rFonts w:hint="eastAsia" w:eastAsia="仿宋_GB2312"/>
          <w:sz w:val="32"/>
          <w:szCs w:val="32"/>
        </w:rPr>
        <w:t>对社会保障基金补助</w:t>
      </w:r>
      <w:r>
        <w:rPr>
          <w:rFonts w:hint="eastAsia" w:eastAsia="仿宋_GB2312"/>
          <w:sz w:val="32"/>
          <w:szCs w:val="32"/>
          <w:lang w:eastAsia="zh-CN"/>
        </w:rPr>
        <w:t>纳入预算以及增加了</w:t>
      </w:r>
      <w:r>
        <w:rPr>
          <w:rFonts w:hint="eastAsia" w:eastAsia="仿宋_GB2312"/>
          <w:sz w:val="32"/>
          <w:szCs w:val="32"/>
          <w:lang w:val="en-US" w:eastAsia="zh-CN"/>
        </w:rPr>
        <w:t>6名工作人员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，从而导致一般公共预算预算支出增加。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</w:t>
      </w:r>
      <w:bookmarkStart w:id="5" w:name="_GoBack"/>
      <w:bookmarkEnd w:id="5"/>
      <w:r>
        <w:rPr>
          <w:rFonts w:hint="eastAsia"/>
          <w:lang w:val="en-US" w:eastAsia="zh-CN"/>
        </w:rPr>
        <w:t xml:space="preserve"> </w:t>
      </w:r>
      <w:r>
        <w:drawing>
          <wp:inline distT="0" distB="0" distL="114300" distR="114300">
            <wp:extent cx="4596765" cy="26962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2024年本单位一般公共预算拨款支出13298.21万元，其中：社会保障和就业支出13259.56万元，占99.71%；卫生健康支出14.59万元，占0.11%；住房保障支出24.06万元，占0.18%。具体安排情况如下：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2024年本单位基本支出预算数315.65万元，主要是为保障单位正常运转、完成日常工作任务而发生的各项支出，包括用于基本工资、津贴补贴等人员经费以及办公费、印刷费、水电费、办公设备购置等公用经费。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项目支出预算12982.56万元，主要是本单位为完成特定工作任务或事业发展目标而发生的支出，包括有关事业发展专项、专项业务费、基本建设支出等，其中：社会保障和就业支出12982.56万元，主要用于社会保障和就业等方面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五、政府性基金预算支出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2024年度本单位无政府性基金安排的支出，所以公开的附件15-17（政府性基金预算）为空。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六、其他重要事项的情况说明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2024年君山区社会保险服务中心机关运行经费37.12万元，比上年预算上升26.95%。主要原因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是增加了6名工作人员，造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成公用经费预算增加。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“三公”经费预算数为0.5万元，其中，公务接待费0.5万元，公务用车购置及运行费0万元0，因公出国（境）费0万元。2024年“三公”经费预算较2023年或减少3.5万元，主要原因是主要是严格落实中央“八项规定”精神和“过紧日子”的要求，从严控制“三公”经费支出。</w:t>
      </w:r>
      <w:bookmarkStart w:id="1" w:name="DIS_MARK_IS_ZERO_06_2"/>
      <w:bookmarkEnd w:id="1"/>
      <w:bookmarkStart w:id="2" w:name="END_IS_ZERO_06_1"/>
      <w:bookmarkEnd w:id="2"/>
      <w:bookmarkStart w:id="3" w:name="END_IS_ZERO_06_2"/>
      <w:bookmarkEnd w:id="3"/>
      <w:bookmarkStart w:id="4" w:name="START_IS_ZERO_06_2"/>
      <w:bookmarkEnd w:id="4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2024年本部门会议费预算0万元，拟召开0次会议，人数0人；培训费预算0万元，拟开展0次培训，人数0人；2024年度本部门未计划举办节庆、晚会、论坛、赛事活动。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2024年本部门政府采购预算总额55万元，其中，货物类采购预算47万元；工程类采购预算0万元；服务类采购预算8万元。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本单位所有支出实行绩效目标管理。纳入2024年单位整体支出绩效目标的金额为13298.21万元，其中，基本支出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315.65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万元，项目支出12982.56万元，具体绩效目标详见文尾附表中部门预算公开表21-22表。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七、名词解释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  <w:t>第二部分  2024年部门预算公开表格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1、收支总表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2、收入总表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3、支出总表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4、支出预算分类汇总表（按政府预算经济分类）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5、支出预算分类汇总表（按部门预算经济分类）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6、财政拨款收支总表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7、一般公共预算支出表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8、一般公共预算基本支出表-人员经费（工资福利支出）（按政府预算经济分类）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9、一般公共预算基本支出表-人员经费（工资福利支出）（按部门预算经济分类）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10、一般公共预算基本支出表-人员经费（对个人和家庭的补助）（按政府预算经济分类）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11、一般公共预算基本支出表-人员经费（对个人和家庭的补助）（按部门预算经济分类）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12、一般公共预算基本支出表-公用经费（商品和服务支出）（按政府预算经济分类）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13、一般公共预算基本支出表-公用经费（商品和服务支出）（按部门预算经济分类）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14、一般公共预算“三公”经费支出表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15、政府性基金预算支出表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16、政府性基金预算支出分类汇总表（按政府预算经济分类）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17、政府性基金预算支出分类汇总表（按部门预算经济分类）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18、国有资本经营预算支出表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19、财政专户管理资金预算支出表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20、专项资金预算汇总表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21、项目支出绩效目标表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22、部门整体支出绩效目标表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23、一般公共预算基本支出表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注：以上部门预算公开报表中，空表表示本单位无相关收支情况。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附件：岳阳市君山区社会保险服务中心2024年部门预算公开表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CC3CBB"/>
    <w:multiLevelType w:val="singleLevel"/>
    <w:tmpl w:val="57CC3CBB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1EC3E90"/>
    <w:rsid w:val="02140C7A"/>
    <w:rsid w:val="046523F8"/>
    <w:rsid w:val="088363E7"/>
    <w:rsid w:val="0AD8381E"/>
    <w:rsid w:val="0B172D74"/>
    <w:rsid w:val="0B5218A1"/>
    <w:rsid w:val="0B653E82"/>
    <w:rsid w:val="0E042561"/>
    <w:rsid w:val="0F2A3A2C"/>
    <w:rsid w:val="10797237"/>
    <w:rsid w:val="132E5AED"/>
    <w:rsid w:val="13BB1F67"/>
    <w:rsid w:val="16042156"/>
    <w:rsid w:val="16247C45"/>
    <w:rsid w:val="167C1082"/>
    <w:rsid w:val="192632E6"/>
    <w:rsid w:val="1B6F1962"/>
    <w:rsid w:val="1C744CBF"/>
    <w:rsid w:val="1C914169"/>
    <w:rsid w:val="1F572E39"/>
    <w:rsid w:val="1F8154A2"/>
    <w:rsid w:val="20034AD4"/>
    <w:rsid w:val="22767EB0"/>
    <w:rsid w:val="22861ED8"/>
    <w:rsid w:val="26BC7312"/>
    <w:rsid w:val="27562CA6"/>
    <w:rsid w:val="286F1B1C"/>
    <w:rsid w:val="28D728F5"/>
    <w:rsid w:val="2A5727A7"/>
    <w:rsid w:val="2B3247EE"/>
    <w:rsid w:val="2DC518B5"/>
    <w:rsid w:val="2E9372BE"/>
    <w:rsid w:val="300A5041"/>
    <w:rsid w:val="30F54535"/>
    <w:rsid w:val="328F1D91"/>
    <w:rsid w:val="36214EDF"/>
    <w:rsid w:val="395E7E49"/>
    <w:rsid w:val="398C704B"/>
    <w:rsid w:val="3A486D41"/>
    <w:rsid w:val="3CB10683"/>
    <w:rsid w:val="3E4B1963"/>
    <w:rsid w:val="40731651"/>
    <w:rsid w:val="40BA4B7E"/>
    <w:rsid w:val="42E3660E"/>
    <w:rsid w:val="4601059C"/>
    <w:rsid w:val="4602087F"/>
    <w:rsid w:val="4748485A"/>
    <w:rsid w:val="4AFC64BF"/>
    <w:rsid w:val="4B1F0738"/>
    <w:rsid w:val="4BBE358A"/>
    <w:rsid w:val="4E514D65"/>
    <w:rsid w:val="4EE728E7"/>
    <w:rsid w:val="4F0307B2"/>
    <w:rsid w:val="4F302902"/>
    <w:rsid w:val="52077AEA"/>
    <w:rsid w:val="544D47D2"/>
    <w:rsid w:val="55E76771"/>
    <w:rsid w:val="58AA6296"/>
    <w:rsid w:val="58AF2EC0"/>
    <w:rsid w:val="5A13112F"/>
    <w:rsid w:val="5BC30933"/>
    <w:rsid w:val="5C786B22"/>
    <w:rsid w:val="5DC12353"/>
    <w:rsid w:val="60B42209"/>
    <w:rsid w:val="61CC3D45"/>
    <w:rsid w:val="637274E6"/>
    <w:rsid w:val="63E65795"/>
    <w:rsid w:val="650D24DA"/>
    <w:rsid w:val="65B57FA7"/>
    <w:rsid w:val="675A13CF"/>
    <w:rsid w:val="682C3048"/>
    <w:rsid w:val="6B1B73BC"/>
    <w:rsid w:val="6F4B168B"/>
    <w:rsid w:val="70F118E0"/>
    <w:rsid w:val="71074D0E"/>
    <w:rsid w:val="71704C61"/>
    <w:rsid w:val="719F6C19"/>
    <w:rsid w:val="78CC0C1A"/>
    <w:rsid w:val="7AE949AB"/>
    <w:rsid w:val="7BB52793"/>
    <w:rsid w:val="7D266D66"/>
    <w:rsid w:val="7E7E5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G:\2024&#24180;&#37096;&#38376;&#39044;&#31639;&#20844;&#24320;&#65288;&#21333;&#20301;&#21457;&#26469;&#30340;&#65289;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0784555877883686"/>
          <c:y val="0.305576748542702"/>
          <c:w val="0.826511949164249"/>
          <c:h val="0.612797291578502"/>
        </c:manualLayout>
      </c:layout>
      <c:pie3DChart>
        <c:varyColors val="1"/>
        <c:ser>
          <c:idx val="0"/>
          <c:order val="0"/>
          <c:spPr/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1"/>
              <c:layout>
                <c:manualLayout>
                  <c:x val="-0.178201409034397"/>
                  <c:y val="0.0671219971738106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.209283050145048"/>
                  <c:y val="0.0459255770136599"/>
                </c:manualLayout>
              </c:layout>
              <c:numFmt formatCode="0.00%" sourceLinked="0"/>
              <c:spPr>
                <a:gradFill>
                  <a:gsLst>
                    <a:gs pos="0">
                      <a:srgbClr val="FBFB11"/>
                    </a:gs>
                    <a:gs pos="100000">
                      <a:srgbClr val="838309"/>
                    </a:gs>
                  </a:gsLst>
                  <a:lin ang="5400000" scaled="0"/>
                </a:gradFill>
                <a:ln>
                  <a:gradFill>
                    <a:gsLst>
                      <a:gs pos="0">
                        <a:schemeClr val="accent1">
                          <a:lumMod val="5000"/>
                          <a:lumOff val="95000"/>
                        </a:schemeClr>
                      </a:gs>
                      <a:gs pos="74000">
                        <a:schemeClr val="accent1">
                          <a:lumMod val="45000"/>
                          <a:lumOff val="55000"/>
                        </a:schemeClr>
                      </a:gs>
                      <a:gs pos="83000">
                        <a:schemeClr val="accent1">
                          <a:lumMod val="45000"/>
                          <a:lumOff val="55000"/>
                        </a:schemeClr>
                      </a:gs>
                      <a:gs pos="100000">
                        <a:schemeClr val="accent1">
                          <a:lumMod val="30000"/>
                          <a:lumOff val="70000"/>
                        </a:schemeClr>
                      </a:gs>
                    </a:gsLst>
                    <a:lin ang="5400000" scaled="1"/>
                  </a:gra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gradFill>
                <a:gsLst>
                  <a:gs pos="0">
                    <a:srgbClr val="FBFB11"/>
                  </a:gs>
                  <a:gs pos="100000">
                    <a:srgbClr val="838309"/>
                  </a:gs>
                </a:gsLst>
                <a:lin ang="5400000" scaled="0"/>
              </a:gradFill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[收入预算图.xlsx]Sheet1!$B$3:$B$5</c:f>
              <c:strCache>
                <c:ptCount val="3"/>
                <c:pt idx="0">
                  <c:v>社会保障和就业支出</c:v>
                </c:pt>
                <c:pt idx="1">
                  <c:v>卫生健康支出</c:v>
                </c:pt>
                <c:pt idx="2">
                  <c:v>住房保障支出</c:v>
                </c:pt>
              </c:strCache>
            </c:strRef>
          </c:cat>
          <c:val>
            <c:numRef>
              <c:f>[收入预算图.xlsx]Sheet1!$C$3:$C$5</c:f>
              <c:numCache>
                <c:formatCode>0.00%</c:formatCode>
                <c:ptCount val="3"/>
                <c:pt idx="0">
                  <c:v>0.997093593799466</c:v>
                </c:pt>
                <c:pt idx="1">
                  <c:v>0.00109714014141753</c:v>
                </c:pt>
                <c:pt idx="2">
                  <c:v>0.00180926605911623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 w="12700" cmpd="sng">
          <a:solidFill>
            <a:schemeClr val="accent1"/>
          </a:solidFill>
          <a:prstDash val="solid"/>
        </a:ln>
        <a:effectLst/>
      </c:spPr>
    </c:plotArea>
    <c:legend>
      <c:legendPos val="t"/>
      <c:layout>
        <c:manualLayout>
          <c:xMode val="edge"/>
          <c:yMode val="edge"/>
          <c:x val="0.0918635170603675"/>
          <c:y val="0.0986811116344795"/>
          <c:w val="0.859925404061334"/>
          <c:h val="0.119170984455959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4209</Words>
  <Characters>4504</Characters>
  <Lines>0</Lines>
  <Paragraphs>0</Paragraphs>
  <TotalTime>5</TotalTime>
  <ScaleCrop>false</ScaleCrop>
  <LinksUpToDate>false</LinksUpToDate>
  <CharactersWithSpaces>4511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cp:lastPrinted>2024-05-29T07:09:00Z</cp:lastPrinted>
  <dcterms:modified xsi:type="dcterms:W3CDTF">2024-06-22T01:33:22Z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4B589B6B695C4DC7952F61D9C4C27BB6_13</vt:lpwstr>
  </property>
</Properties>
</file>