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charts/chart1.xml" ContentType="application/vnd.openxmlformats-officedocument.drawingml.chart+xml"/>
  <Override PartName="/word/charts/chart2.xml" ContentType="application/vnd.openxmlformats-officedocument.drawingml.chart+xml"/>
  <Override PartName="/word/charts/colors1.xml" ContentType="application/vnd.ms-office.chartcolorstyle+xml"/>
  <Override PartName="/word/charts/style1.xml" ContentType="application/vnd.ms-office.chartstyle+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70" w:lineRule="atLeast"/>
        <w:jc w:val="center"/>
        <w:rPr>
          <w:rFonts w:hint="eastAsia" w:ascii="方正小标宋简体" w:hAnsi="方正小标宋简体" w:eastAsia="方正小标宋简体" w:cs="方正小标宋简体"/>
          <w:b/>
          <w:bCs/>
          <w:sz w:val="44"/>
          <w:szCs w:val="44"/>
          <w:lang w:val="en-US" w:eastAsia="zh-CN"/>
        </w:rPr>
      </w:pPr>
    </w:p>
    <w:p>
      <w:pPr>
        <w:spacing w:line="570" w:lineRule="atLeast"/>
        <w:jc w:val="center"/>
        <w:rPr>
          <w:rFonts w:hint="eastAsia" w:ascii="方正小标宋简体" w:hAnsi="方正小标宋简体" w:eastAsia="方正小标宋简体" w:cs="方正小标宋简体"/>
          <w:b/>
          <w:bCs/>
          <w:sz w:val="44"/>
          <w:szCs w:val="44"/>
          <w:lang w:val="en-US" w:eastAsia="zh-CN"/>
        </w:rPr>
      </w:pPr>
    </w:p>
    <w:p>
      <w:pPr>
        <w:spacing w:line="570" w:lineRule="atLeast"/>
        <w:jc w:val="center"/>
        <w:rPr>
          <w:rFonts w:hint="eastAsia" w:ascii="方正小标宋简体" w:hAnsi="方正小标宋简体" w:eastAsia="方正小标宋简体" w:cs="方正小标宋简体"/>
          <w:b/>
          <w:bCs/>
          <w:sz w:val="44"/>
          <w:szCs w:val="44"/>
          <w:lang w:val="en-US" w:eastAsia="zh-CN"/>
        </w:rPr>
      </w:pPr>
    </w:p>
    <w:p>
      <w:pPr>
        <w:spacing w:line="570" w:lineRule="atLeast"/>
        <w:jc w:val="center"/>
        <w:rPr>
          <w:rFonts w:hint="eastAsia" w:ascii="方正小标宋简体" w:hAnsi="方正小标宋简体" w:eastAsia="方正小标宋简体" w:cs="方正小标宋简体"/>
          <w:b/>
          <w:bCs/>
          <w:sz w:val="44"/>
          <w:szCs w:val="44"/>
          <w:lang w:val="en-US" w:eastAsia="zh-CN"/>
        </w:rPr>
      </w:pPr>
    </w:p>
    <w:p>
      <w:pPr>
        <w:spacing w:line="570" w:lineRule="atLeast"/>
        <w:jc w:val="center"/>
        <w:rPr>
          <w:rFonts w:hint="eastAsia" w:ascii="方正小标宋简体" w:hAnsi="方正小标宋简体" w:eastAsia="方正小标宋简体" w:cs="方正小标宋简体"/>
          <w:b/>
          <w:bCs/>
          <w:sz w:val="44"/>
          <w:szCs w:val="44"/>
          <w:lang w:val="en-US" w:eastAsia="zh-CN"/>
        </w:rPr>
      </w:pPr>
    </w:p>
    <w:p>
      <w:pPr>
        <w:spacing w:line="570" w:lineRule="atLeast"/>
        <w:jc w:val="center"/>
        <w:rPr>
          <w:rFonts w:hint="eastAsia" w:ascii="方正小标宋简体" w:hAnsi="方正小标宋简体" w:eastAsia="方正小标宋简体" w:cs="方正小标宋简体"/>
          <w:b/>
          <w:bCs/>
          <w:sz w:val="44"/>
          <w:szCs w:val="44"/>
          <w:lang w:val="en-US" w:eastAsia="zh-CN"/>
        </w:rPr>
      </w:pPr>
    </w:p>
    <w:p>
      <w:pPr>
        <w:spacing w:line="570" w:lineRule="atLeast"/>
        <w:jc w:val="center"/>
        <w:rPr>
          <w:rFonts w:hint="eastAsia" w:ascii="方正小标宋简体" w:hAnsi="方正小标宋简体" w:eastAsia="方正小标宋简体" w:cs="方正小标宋简体"/>
          <w:b/>
          <w:bCs/>
          <w:sz w:val="44"/>
          <w:szCs w:val="44"/>
          <w:lang w:val="en-US" w:eastAsia="zh-CN"/>
        </w:rPr>
      </w:pPr>
      <w:r>
        <w:rPr>
          <w:rFonts w:hint="eastAsia" w:ascii="方正小标宋简体" w:hAnsi="方正小标宋简体" w:eastAsia="方正小标宋简体" w:cs="方正小标宋简体"/>
          <w:b/>
          <w:bCs/>
          <w:sz w:val="44"/>
          <w:szCs w:val="44"/>
          <w:lang w:val="en-US" w:eastAsia="zh-CN"/>
        </w:rPr>
        <w:t>岳阳市君山区财政局</w:t>
      </w:r>
    </w:p>
    <w:p>
      <w:pPr>
        <w:spacing w:line="570" w:lineRule="atLeast"/>
        <w:jc w:val="center"/>
        <w:rPr>
          <w:rFonts w:hint="eastAsia" w:ascii="黑体" w:hAnsi="黑体" w:eastAsia="黑体" w:cs="黑体"/>
          <w:b/>
          <w:bCs/>
          <w:sz w:val="48"/>
          <w:szCs w:val="48"/>
        </w:rPr>
      </w:pPr>
      <w:r>
        <w:rPr>
          <w:rFonts w:hint="eastAsia" w:ascii="方正小标宋简体" w:hAnsi="方正小标宋简体" w:eastAsia="方正小标宋简体" w:cs="方正小标宋简体"/>
          <w:b/>
          <w:bCs/>
          <w:sz w:val="44"/>
          <w:szCs w:val="44"/>
          <w:lang w:val="en-US" w:eastAsia="zh-CN"/>
        </w:rPr>
        <w:t>2024年部门预算公开</w:t>
      </w:r>
    </w:p>
    <w:p>
      <w:pPr>
        <w:rPr>
          <w:rFonts w:hint="eastAsia"/>
        </w:rPr>
      </w:pPr>
    </w:p>
    <w:p>
      <w:pPr>
        <w:widowControl/>
        <w:spacing w:line="570" w:lineRule="atLeast"/>
        <w:jc w:val="center"/>
        <w:rPr>
          <w:rFonts w:hint="eastAsia" w:ascii="Times New Roman" w:hAnsi="Times New Roman" w:eastAsia="黑体" w:cs="Times New Roman"/>
          <w:b/>
          <w:kern w:val="0"/>
          <w:sz w:val="36"/>
          <w:szCs w:val="36"/>
        </w:rPr>
      </w:pPr>
    </w:p>
    <w:p>
      <w:pPr>
        <w:widowControl/>
        <w:spacing w:line="570" w:lineRule="atLeast"/>
        <w:jc w:val="center"/>
        <w:rPr>
          <w:rFonts w:hint="eastAsia" w:ascii="Times New Roman" w:hAnsi="Times New Roman" w:eastAsia="黑体" w:cs="Times New Roman"/>
          <w:b/>
          <w:kern w:val="0"/>
          <w:sz w:val="36"/>
          <w:szCs w:val="36"/>
        </w:rPr>
      </w:pPr>
    </w:p>
    <w:p>
      <w:pPr>
        <w:widowControl/>
        <w:spacing w:line="570" w:lineRule="atLeast"/>
        <w:jc w:val="center"/>
        <w:rPr>
          <w:rFonts w:hint="eastAsia" w:ascii="Times New Roman" w:hAnsi="Times New Roman" w:eastAsia="黑体" w:cs="Times New Roman"/>
          <w:b/>
          <w:kern w:val="0"/>
          <w:sz w:val="36"/>
          <w:szCs w:val="36"/>
        </w:rPr>
      </w:pPr>
    </w:p>
    <w:p>
      <w:pPr>
        <w:widowControl/>
        <w:spacing w:line="570" w:lineRule="atLeast"/>
        <w:jc w:val="center"/>
        <w:rPr>
          <w:rFonts w:hint="eastAsia" w:ascii="Times New Roman" w:hAnsi="Times New Roman" w:eastAsia="黑体" w:cs="Times New Roman"/>
          <w:b/>
          <w:kern w:val="0"/>
          <w:sz w:val="36"/>
          <w:szCs w:val="36"/>
        </w:rPr>
      </w:pPr>
    </w:p>
    <w:p>
      <w:pPr>
        <w:widowControl/>
        <w:spacing w:line="570" w:lineRule="atLeast"/>
        <w:jc w:val="center"/>
        <w:rPr>
          <w:rFonts w:hint="eastAsia" w:ascii="Times New Roman" w:hAnsi="Times New Roman" w:eastAsia="黑体" w:cs="Times New Roman"/>
          <w:b/>
          <w:kern w:val="0"/>
          <w:sz w:val="36"/>
          <w:szCs w:val="36"/>
        </w:rPr>
      </w:pPr>
    </w:p>
    <w:p>
      <w:pPr>
        <w:widowControl/>
        <w:spacing w:line="570" w:lineRule="atLeast"/>
        <w:jc w:val="center"/>
        <w:rPr>
          <w:rFonts w:hint="eastAsia" w:ascii="Times New Roman" w:hAnsi="Times New Roman" w:eastAsia="黑体" w:cs="Times New Roman"/>
          <w:b/>
          <w:kern w:val="0"/>
          <w:sz w:val="36"/>
          <w:szCs w:val="36"/>
        </w:rPr>
      </w:pPr>
    </w:p>
    <w:p>
      <w:pPr>
        <w:widowControl/>
        <w:spacing w:line="570" w:lineRule="atLeast"/>
        <w:jc w:val="center"/>
        <w:rPr>
          <w:rFonts w:hint="eastAsia" w:ascii="Times New Roman" w:hAnsi="Times New Roman" w:eastAsia="黑体" w:cs="Times New Roman"/>
          <w:b/>
          <w:kern w:val="0"/>
          <w:sz w:val="36"/>
          <w:szCs w:val="36"/>
        </w:rPr>
      </w:pPr>
    </w:p>
    <w:p>
      <w:pPr>
        <w:widowControl/>
        <w:spacing w:line="570" w:lineRule="atLeast"/>
        <w:jc w:val="center"/>
        <w:rPr>
          <w:rFonts w:hint="eastAsia" w:ascii="Times New Roman" w:hAnsi="Times New Roman" w:eastAsia="黑体" w:cs="Times New Roman"/>
          <w:b/>
          <w:kern w:val="0"/>
          <w:sz w:val="36"/>
          <w:szCs w:val="36"/>
        </w:rPr>
      </w:pPr>
    </w:p>
    <w:p>
      <w:pPr>
        <w:widowControl/>
        <w:spacing w:line="570" w:lineRule="atLeast"/>
        <w:jc w:val="center"/>
        <w:rPr>
          <w:rFonts w:hint="eastAsia" w:ascii="Times New Roman" w:hAnsi="Times New Roman" w:eastAsia="黑体" w:cs="Times New Roman"/>
          <w:b/>
          <w:kern w:val="0"/>
          <w:sz w:val="36"/>
          <w:szCs w:val="36"/>
        </w:rPr>
      </w:pPr>
    </w:p>
    <w:p>
      <w:pPr>
        <w:widowControl/>
        <w:spacing w:line="570" w:lineRule="atLeast"/>
        <w:jc w:val="center"/>
        <w:rPr>
          <w:rFonts w:hint="eastAsia" w:ascii="Times New Roman" w:hAnsi="Times New Roman" w:eastAsia="黑体" w:cs="Times New Roman"/>
          <w:b/>
          <w:kern w:val="0"/>
          <w:sz w:val="36"/>
          <w:szCs w:val="36"/>
        </w:rPr>
      </w:pPr>
    </w:p>
    <w:p>
      <w:pPr>
        <w:widowControl/>
        <w:spacing w:line="570" w:lineRule="atLeast"/>
        <w:jc w:val="center"/>
        <w:rPr>
          <w:rFonts w:hint="eastAsia" w:ascii="Times New Roman" w:hAnsi="Times New Roman" w:eastAsia="黑体" w:cs="Times New Roman"/>
          <w:b/>
          <w:kern w:val="0"/>
          <w:sz w:val="36"/>
          <w:szCs w:val="36"/>
        </w:rPr>
      </w:pPr>
    </w:p>
    <w:p>
      <w:pPr>
        <w:widowControl/>
        <w:spacing w:line="570" w:lineRule="atLeast"/>
        <w:jc w:val="center"/>
        <w:rPr>
          <w:rFonts w:hint="eastAsia" w:ascii="Times New Roman" w:hAnsi="Times New Roman" w:eastAsia="黑体" w:cs="Times New Roman"/>
          <w:b/>
          <w:kern w:val="0"/>
          <w:sz w:val="36"/>
          <w:szCs w:val="36"/>
        </w:rPr>
      </w:pPr>
    </w:p>
    <w:p>
      <w:pPr>
        <w:widowControl/>
        <w:spacing w:line="570" w:lineRule="atLeast"/>
        <w:jc w:val="center"/>
        <w:rPr>
          <w:rFonts w:hint="eastAsia" w:ascii="Times New Roman" w:hAnsi="Times New Roman" w:eastAsia="黑体" w:cs="Times New Roman"/>
          <w:b/>
          <w:kern w:val="0"/>
          <w:sz w:val="36"/>
          <w:szCs w:val="36"/>
        </w:rPr>
      </w:pPr>
    </w:p>
    <w:p>
      <w:pPr>
        <w:widowControl/>
        <w:spacing w:line="570" w:lineRule="atLeast"/>
        <w:jc w:val="center"/>
        <w:rPr>
          <w:rFonts w:hint="eastAsia" w:ascii="Times New Roman" w:hAnsi="Times New Roman" w:eastAsia="黑体" w:cs="Times New Roman"/>
          <w:b/>
          <w:kern w:val="0"/>
          <w:sz w:val="36"/>
          <w:szCs w:val="36"/>
        </w:rPr>
      </w:pPr>
      <w:r>
        <w:rPr>
          <w:rFonts w:hint="eastAsia" w:ascii="Times New Roman" w:hAnsi="Times New Roman" w:eastAsia="黑体" w:cs="Times New Roman"/>
          <w:b/>
          <w:kern w:val="0"/>
          <w:sz w:val="36"/>
          <w:szCs w:val="36"/>
        </w:rPr>
        <w:t>目 录</w:t>
      </w:r>
    </w:p>
    <w:p>
      <w:pPr>
        <w:widowControl/>
        <w:spacing w:line="570" w:lineRule="atLeast"/>
        <w:ind w:firstLine="630" w:firstLineChars="196"/>
        <w:rPr>
          <w:rFonts w:hint="eastAsia" w:ascii="黑体" w:hAnsi="黑体" w:eastAsia="黑体" w:cs="黑体"/>
          <w:b/>
          <w:bCs/>
          <w:kern w:val="0"/>
          <w:sz w:val="32"/>
          <w:szCs w:val="32"/>
        </w:rPr>
      </w:pPr>
      <w:r>
        <w:rPr>
          <w:rFonts w:hint="eastAsia" w:ascii="黑体" w:hAnsi="黑体" w:eastAsia="黑体" w:cs="黑体"/>
          <w:b/>
          <w:bCs/>
          <w:kern w:val="0"/>
          <w:sz w:val="32"/>
          <w:szCs w:val="32"/>
        </w:rPr>
        <w:t>第一部分 2024年部门预算说明</w:t>
      </w: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一、部门基本概况</w:t>
      </w: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二、部门预算单位构成</w:t>
      </w: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三、部门收支总体情况</w:t>
      </w: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四、一般公共预算拨款支出</w:t>
      </w: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五、政府性基金预算支出</w:t>
      </w: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六、其他重要事项的情况说明</w:t>
      </w:r>
    </w:p>
    <w:p>
      <w:pPr>
        <w:spacing w:line="570" w:lineRule="atLeast"/>
        <w:ind w:firstLine="640" w:firstLineChars="200"/>
        <w:rPr>
          <w:rFonts w:hint="eastAsia" w:asciiTheme="minorEastAsia" w:hAnsiTheme="minorEastAsia" w:eastAsiaTheme="minorEastAsia" w:cstheme="minorEastAsia"/>
          <w:sz w:val="28"/>
          <w:szCs w:val="28"/>
        </w:rPr>
      </w:pPr>
      <w:r>
        <w:rPr>
          <w:rFonts w:hint="eastAsia" w:ascii="仿宋_GB2312" w:hAnsi="仿宋_GB2312" w:eastAsia="仿宋_GB2312" w:cs="仿宋_GB2312"/>
          <w:color w:val="000000"/>
          <w:sz w:val="32"/>
          <w:szCs w:val="32"/>
          <w:shd w:val="clear" w:color="auto" w:fill="FFFFFF"/>
        </w:rPr>
        <w:t>七、名词解释</w:t>
      </w:r>
    </w:p>
    <w:p>
      <w:pPr>
        <w:ind w:firstLine="643" w:firstLineChars="200"/>
        <w:rPr>
          <w:rFonts w:hint="eastAsia" w:asciiTheme="minorEastAsia" w:hAnsiTheme="minorEastAsia" w:eastAsiaTheme="minorEastAsia" w:cstheme="minorEastAsia"/>
          <w:sz w:val="28"/>
          <w:szCs w:val="28"/>
        </w:rPr>
      </w:pPr>
      <w:r>
        <w:rPr>
          <w:rFonts w:hint="eastAsia" w:ascii="黑体" w:hAnsi="黑体" w:eastAsia="黑体" w:cs="黑体"/>
          <w:b/>
          <w:bCs/>
          <w:kern w:val="0"/>
          <w:sz w:val="32"/>
          <w:szCs w:val="32"/>
        </w:rPr>
        <w:t>第二部分 2024年部门预算表</w:t>
      </w: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1、收支总表</w:t>
      </w: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2、收入总表</w:t>
      </w: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3、支出总表</w:t>
      </w: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4、支出预算分类汇总表（按政府预算经济分类）</w:t>
      </w: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5、支出预算分类汇总表（按部门预算经济分类）</w:t>
      </w: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6、财政拨款收支总表</w:t>
      </w: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7、一般公共预算支出表</w:t>
      </w: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8、一般公共预算基本支出表-人员经费（工资福利支出）（按政府预算经济分类）</w:t>
      </w: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9、一般公共预算基本支出表-人员经费（工资福利支出）（按部门预算经济分类）</w:t>
      </w: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10、一般公共预算基本支出表-人员经费（对个人和家庭的补助）（按政府预算经济分类）</w:t>
      </w: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11、一般公共预算基本支出表-人员经费（对个人和家庭的补助）（按部门预算经济分类）</w:t>
      </w: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12、一般公共预算基本支出表-公用经费（商品和服务支出）（按政府预算经济分类）</w:t>
      </w: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13、一般公共预算基本支出表-公用经费（商品和服务支出）（按部门预算经济分类）</w:t>
      </w: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14、一般公共预算“三公”经费支出表</w:t>
      </w: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15、政府性基金预算支出表</w:t>
      </w: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16、政府性基金预算支出分类汇总表（按政府预算经济分类）</w:t>
      </w: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17、政府性基金预算支出分类汇总表（按部门预算经济分类）</w:t>
      </w: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18、国有资本经营预算支出表</w:t>
      </w: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19、财政专户管理资金预算支出表</w:t>
      </w: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20、专项资金预算汇总表</w:t>
      </w: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21、项目支出绩效目标表</w:t>
      </w: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22、部门整体支出绩效目标表</w:t>
      </w: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23、一般公共预算基本支出表</w:t>
      </w: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注：以上部门预算公开报表中，空表表示本部门无相关收支情况。</w:t>
      </w:r>
    </w:p>
    <w:p>
      <w:pPr>
        <w:jc w:val="center"/>
        <w:rPr>
          <w:rFonts w:hint="eastAsia" w:asciiTheme="minorEastAsia" w:hAnsiTheme="minorEastAsia" w:eastAsiaTheme="minorEastAsia" w:cstheme="minorEastAsia"/>
          <w:b/>
          <w:bCs/>
          <w:sz w:val="28"/>
          <w:szCs w:val="28"/>
        </w:rPr>
      </w:pPr>
    </w:p>
    <w:p>
      <w:pPr>
        <w:jc w:val="center"/>
        <w:rPr>
          <w:rFonts w:hint="eastAsia" w:asciiTheme="minorEastAsia" w:hAnsiTheme="minorEastAsia" w:eastAsiaTheme="minorEastAsia" w:cstheme="minorEastAsia"/>
          <w:b/>
          <w:bCs/>
          <w:sz w:val="28"/>
          <w:szCs w:val="28"/>
        </w:rPr>
      </w:pPr>
      <w:r>
        <w:rPr>
          <w:rFonts w:hint="eastAsia" w:ascii="Times New Roman" w:hAnsi="Times New Roman" w:eastAsia="方正小标宋_GBK" w:cs="Times New Roman"/>
          <w:b/>
          <w:bCs/>
          <w:kern w:val="0"/>
          <w:sz w:val="36"/>
          <w:szCs w:val="36"/>
        </w:rPr>
        <w:t>第一部分 部门预算公开说明</w:t>
      </w:r>
    </w:p>
    <w:p>
      <w:pPr>
        <w:ind w:firstLine="643" w:firstLineChars="200"/>
        <w:rPr>
          <w:rFonts w:hint="eastAsia" w:ascii="Times New Roman" w:hAnsi="Times New Roman" w:eastAsia="黑体" w:cs="Times New Roman"/>
          <w:b/>
          <w:bCs/>
          <w:kern w:val="0"/>
          <w:sz w:val="32"/>
          <w:szCs w:val="32"/>
        </w:rPr>
      </w:pPr>
    </w:p>
    <w:p>
      <w:pPr>
        <w:ind w:firstLine="643" w:firstLineChars="200"/>
        <w:rPr>
          <w:rFonts w:hint="eastAsia" w:asciiTheme="minorEastAsia" w:hAnsiTheme="minorEastAsia" w:eastAsiaTheme="minorEastAsia" w:cstheme="minorEastAsia"/>
          <w:b/>
          <w:bCs/>
          <w:sz w:val="28"/>
          <w:szCs w:val="28"/>
        </w:rPr>
      </w:pPr>
      <w:r>
        <w:rPr>
          <w:rFonts w:hint="eastAsia" w:ascii="Times New Roman" w:hAnsi="Times New Roman" w:eastAsia="黑体" w:cs="Times New Roman"/>
          <w:b/>
          <w:bCs/>
          <w:kern w:val="0"/>
          <w:sz w:val="32"/>
          <w:szCs w:val="32"/>
        </w:rPr>
        <w:t>一、部门基本概况</w:t>
      </w:r>
    </w:p>
    <w:p>
      <w:pPr>
        <w:spacing w:line="570" w:lineRule="atLeast"/>
        <w:ind w:firstLine="643" w:firstLineChars="200"/>
        <w:rPr>
          <w:rFonts w:hint="eastAsia" w:ascii="仿宋_GB2312" w:hAnsi="仿宋_GB2312" w:eastAsia="仿宋_GB2312" w:cs="仿宋_GB2312"/>
          <w:color w:val="000000"/>
          <w:sz w:val="32"/>
          <w:szCs w:val="32"/>
          <w:shd w:val="clear" w:color="auto" w:fill="FFFFFF"/>
          <w:lang w:val="en-US" w:eastAsia="zh-CN"/>
        </w:rPr>
      </w:pPr>
      <w:r>
        <w:rPr>
          <w:rFonts w:hint="eastAsia" w:ascii="仿宋_GB2312" w:hAnsi="仿宋_GB2312" w:eastAsia="仿宋_GB2312" w:cs="仿宋_GB2312"/>
          <w:b/>
          <w:bCs/>
          <w:color w:val="000000"/>
          <w:sz w:val="32"/>
          <w:szCs w:val="32"/>
          <w:shd w:val="clear" w:color="auto" w:fill="FFFFFF"/>
          <w:lang w:val="en-US" w:eastAsia="zh-CN"/>
        </w:rPr>
        <w:t>（一）职能职责</w:t>
      </w: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区财政局是负责本区财政收支、财税政策、国有资产基础管理和财政监督工作的政府职能部门，主要职责是：</w:t>
      </w: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1）组织贯彻执行国家财税方针政策，拟订和执行全区财政政策、改革方案，指导全区财政工作；分析预测宏观经济形势，参与制定各项宏观经济政策；提出运用财税政策实施宏观调控和综合平衡社会财力的建议；拟订和执行区与乡镇、政府与企业的分配政策，完善鼓励公益事业发展的财税政策。</w:t>
      </w: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（2）起草财政、财务、会计管理等规章草案，制定和执行财政、财务、会计管理的制度及办法。</w:t>
      </w: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3）承担区本级各项财政收支管理的责任。负责编制年度区本级预决算草案并组织执行。代编全区财政收支预算，汇总全区财政总决算；受区人民政府委托，向区人大报告区本级、全区预算、预算执行情况和财政总决算。负责全面实施预算绩效管理相关工作。组织制订区本级经费开支标准、定额，负责审核批复部门（单位）的年度预决算。完善转移支付制度，推进财政体制改革。</w:t>
      </w: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（4）负责政府非税收入管理。负责政府性基金管理，按规定管理行政事业性收费。管理财政票据。按规定管理彩票资金。</w:t>
      </w: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（5）组织制定国库管理制度、国库集中收付制度，指导和监督区本级国库业务，按规定开展国库现金管理工作。负责制定政府采购制度并实施监督管理。负责牵头拟订政府购买服务政策并组织实施。</w:t>
      </w: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6）贯彻执行国家税收法律、法规和税收调整政策，反馈政策执行情况，及时提出调整建议。研究制定区级管理权限内有关税收政策及税收政策调整方案并组织实施，按照规定权限，办理申报地方税收减免的有关工作。按规定承担地方关税管理的有关工作。</w:t>
      </w: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（7）负责制定行政事业单位国有资产管理规定制度，并负责组织实施和监督检查。负责控制社会集团购买力工作。负责财政预算内行政、事业单位和社会团体的非贸易外汇管理。</w:t>
      </w: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（8）负责履行区级国有金融资本管理相关职责。负责牵头编制国有资产管理有关情况报告。</w:t>
      </w: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9）负责办理和监督区财政的经济发展支出、区级政府性投资项目的财政拨款，参与拟订区建设投资的有关政策，组织实施基本建设财务制度，负责有关政策性补贴和专项储备资金财政管理工作。负责农村综合改革工作。</w:t>
      </w: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（10）会同有关部门管理区财政社会保障和就业及医疗卫生支出，组织实施社会保障资金（基金）的财务管理制度，编制区社会保障预决算草案。</w:t>
      </w: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11）贯彻执行政府内外债务管理的政策，防范财政风险。负责统一管理区政府外债，制定基本管理制度。按规定管理外国政府和国际金融组织贷（赠）款。承担财税领域交流与合作的具体工作。承担地方政府任务核查、监督等相关职责。</w:t>
      </w: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（12）负责管理全区的会计工作，监督和规范会计行为，组织实施国家统一的会计的制度，组织实施会计法律法规和规章，指导和监督注册会计师和会计师事务所的业务，指导和管理社会审计。</w:t>
      </w: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（13）监督检查财税法律法规、政策的执行情况，反映财政收支管理中的重大问题，提出加强财政管理的政策和建议。</w:t>
      </w: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（14）承办区委、区人民政府交办的其他事项。</w:t>
      </w:r>
    </w:p>
    <w:p>
      <w:pPr>
        <w:spacing w:line="570" w:lineRule="atLeast"/>
        <w:ind w:firstLine="643" w:firstLineChars="200"/>
        <w:rPr>
          <w:rFonts w:hint="eastAsia" w:ascii="仿宋_GB2312" w:hAnsi="仿宋_GB2312" w:eastAsia="仿宋_GB2312" w:cs="仿宋_GB2312"/>
          <w:color w:val="000000"/>
          <w:sz w:val="32"/>
          <w:szCs w:val="32"/>
          <w:shd w:val="clear" w:color="auto" w:fill="FFFFFF"/>
          <w:lang w:val="en-US" w:eastAsia="zh-CN"/>
        </w:rPr>
      </w:pPr>
      <w:r>
        <w:rPr>
          <w:rFonts w:hint="eastAsia" w:ascii="仿宋_GB2312" w:hAnsi="仿宋_GB2312" w:eastAsia="仿宋_GB2312" w:cs="仿宋_GB2312"/>
          <w:b/>
          <w:bCs/>
          <w:color w:val="000000"/>
          <w:sz w:val="32"/>
          <w:szCs w:val="32"/>
          <w:shd w:val="clear" w:color="auto" w:fill="FFFFFF"/>
          <w:lang w:val="en-US" w:eastAsia="zh-CN"/>
        </w:rPr>
        <w:t>（二）机构设置</w:t>
      </w:r>
    </w:p>
    <w:p>
      <w:pPr>
        <w:widowControl/>
        <w:spacing w:line="600" w:lineRule="exact"/>
        <w:ind w:firstLine="627" w:firstLineChars="196"/>
        <w:rPr>
          <w:rFonts w:hint="eastAsia" w:asciiTheme="minorEastAsia" w:hAnsiTheme="minorEastAsia" w:cstheme="minorEastAsia"/>
          <w:color w:val="auto"/>
          <w:sz w:val="28"/>
          <w:szCs w:val="28"/>
          <w:highlight w:val="none"/>
          <w:lang w:val="en-US" w:eastAsia="zh-CN"/>
        </w:rPr>
      </w:pPr>
      <w:r>
        <w:rPr>
          <w:rFonts w:hint="eastAsia" w:ascii="Times New Roman" w:hAnsi="Times New Roman" w:eastAsia="仿宋_GB2312" w:cs="Times New Roman"/>
          <w:sz w:val="32"/>
          <w:szCs w:val="32"/>
        </w:rPr>
        <w:t>区财政局</w:t>
      </w:r>
      <w:r>
        <w:rPr>
          <w:rFonts w:hint="eastAsia" w:ascii="仿宋_GB2312" w:hAnsi="仿宋_GB2312" w:eastAsia="仿宋_GB2312" w:cs="仿宋_GB2312"/>
          <w:color w:val="000000"/>
          <w:sz w:val="32"/>
          <w:szCs w:val="32"/>
          <w:shd w:val="clear" w:color="auto" w:fill="FFFFFF"/>
          <w:lang w:val="en-US" w:eastAsia="zh-CN"/>
        </w:rPr>
        <w:t>内设机构</w:t>
      </w:r>
      <w:r>
        <w:rPr>
          <w:rFonts w:hint="eastAsia" w:ascii="仿宋_GB2312" w:hAnsi="仿宋_GB2312" w:eastAsia="仿宋_GB2312" w:cs="仿宋_GB2312"/>
          <w:color w:val="auto"/>
          <w:sz w:val="32"/>
          <w:szCs w:val="32"/>
          <w:shd w:val="clear" w:color="auto" w:fill="FFFFFF"/>
          <w:lang w:val="en-US" w:eastAsia="zh-CN"/>
        </w:rPr>
        <w:t>12</w:t>
      </w:r>
      <w:r>
        <w:rPr>
          <w:rFonts w:hint="eastAsia" w:ascii="仿宋_GB2312" w:hAnsi="仿宋_GB2312" w:eastAsia="仿宋_GB2312" w:cs="仿宋_GB2312"/>
          <w:color w:val="000000"/>
          <w:sz w:val="32"/>
          <w:szCs w:val="32"/>
          <w:shd w:val="clear" w:color="auto" w:fill="FFFFFF"/>
          <w:lang w:val="en-US" w:eastAsia="zh-CN"/>
        </w:rPr>
        <w:t>个，事业单位</w:t>
      </w:r>
      <w:r>
        <w:rPr>
          <w:rFonts w:hint="eastAsia" w:ascii="仿宋_GB2312" w:hAnsi="仿宋_GB2312" w:eastAsia="仿宋_GB2312" w:cs="仿宋_GB2312"/>
          <w:color w:val="auto"/>
          <w:sz w:val="32"/>
          <w:szCs w:val="32"/>
          <w:shd w:val="clear" w:color="auto" w:fill="FFFFFF"/>
          <w:lang w:val="en-US" w:eastAsia="zh-CN"/>
        </w:rPr>
        <w:t>7</w:t>
      </w:r>
      <w:r>
        <w:rPr>
          <w:rFonts w:hint="eastAsia" w:ascii="仿宋_GB2312" w:hAnsi="仿宋_GB2312" w:eastAsia="仿宋_GB2312" w:cs="仿宋_GB2312"/>
          <w:color w:val="000000"/>
          <w:sz w:val="32"/>
          <w:szCs w:val="32"/>
          <w:shd w:val="clear" w:color="auto" w:fill="FFFFFF"/>
          <w:lang w:val="en-US" w:eastAsia="zh-CN"/>
        </w:rPr>
        <w:t>个。内设机构包括：</w:t>
      </w:r>
      <w:r>
        <w:rPr>
          <w:rFonts w:hint="eastAsia" w:ascii="Times New Roman" w:hAnsi="Times New Roman" w:eastAsia="仿宋_GB2312" w:cs="Times New Roman"/>
          <w:sz w:val="32"/>
          <w:szCs w:val="32"/>
        </w:rPr>
        <w:t>办公室（加挂政工人事股牌子）、预算股（加挂预算编审办公室牌子）、国库股、经济建设股（加挂自然资源和生态环境股牌子）、行政政法教科文股、农业农村股、社会保障股、金融债务与企业股（加挂区政府国有资产管理办公室牌子）、法规与会计股、绩效评价与财监股、综合规划股、政府采购监督管理股</w:t>
      </w:r>
      <w:r>
        <w:rPr>
          <w:rFonts w:hint="eastAsia" w:ascii="仿宋_GB2312" w:hAnsi="仿宋_GB2312" w:eastAsia="仿宋_GB2312" w:cs="仿宋_GB2312"/>
          <w:color w:val="000000"/>
          <w:sz w:val="32"/>
          <w:szCs w:val="32"/>
          <w:shd w:val="clear" w:color="auto" w:fill="FFFFFF"/>
          <w:lang w:val="en-US" w:eastAsia="zh-CN"/>
        </w:rPr>
        <w:t>等</w:t>
      </w:r>
      <w:r>
        <w:rPr>
          <w:rFonts w:hint="eastAsia" w:ascii="仿宋_GB2312" w:hAnsi="仿宋_GB2312" w:eastAsia="仿宋_GB2312" w:cs="仿宋_GB2312"/>
          <w:color w:val="000000"/>
          <w:sz w:val="32"/>
          <w:szCs w:val="32"/>
          <w:highlight w:val="none"/>
          <w:shd w:val="clear" w:color="auto" w:fill="FFFFFF"/>
          <w:lang w:val="en-US" w:eastAsia="zh-CN"/>
        </w:rPr>
        <w:t>12个股室。事业单位包括：</w:t>
      </w:r>
      <w:r>
        <w:rPr>
          <w:rFonts w:hint="eastAsia" w:asciiTheme="minorEastAsia" w:hAnsiTheme="minorEastAsia" w:cstheme="minorEastAsia"/>
          <w:sz w:val="28"/>
          <w:szCs w:val="28"/>
          <w:highlight w:val="none"/>
          <w:lang w:val="en-US" w:eastAsia="zh-CN"/>
        </w:rPr>
        <w:t xml:space="preserve"> </w:t>
      </w:r>
      <w:r>
        <w:rPr>
          <w:rFonts w:hint="eastAsia" w:ascii="Times New Roman" w:hAnsi="Times New Roman" w:eastAsia="仿宋_GB2312" w:cs="Times New Roman"/>
          <w:sz w:val="32"/>
          <w:szCs w:val="32"/>
        </w:rPr>
        <w:t>国库集中支付核算中心、乡镇财政服务中心、财政事务中心</w:t>
      </w:r>
      <w:r>
        <w:rPr>
          <w:rFonts w:hint="eastAsia" w:ascii="Times New Roman" w:hAnsi="Times New Roman" w:eastAsia="仿宋_GB2312" w:cs="Times New Roman"/>
          <w:sz w:val="32"/>
          <w:szCs w:val="32"/>
          <w:lang w:eastAsia="zh-CN"/>
        </w:rPr>
        <w:t>、</w:t>
      </w:r>
      <w:r>
        <w:rPr>
          <w:rFonts w:hint="eastAsia" w:ascii="Times New Roman" w:hAnsi="Times New Roman" w:eastAsia="仿宋_GB2312" w:cs="Times New Roman"/>
          <w:sz w:val="32"/>
          <w:szCs w:val="32"/>
        </w:rPr>
        <w:t>政府集中采购中心</w:t>
      </w:r>
      <w:r>
        <w:rPr>
          <w:rFonts w:hint="eastAsia" w:ascii="Times New Roman" w:hAnsi="Times New Roman" w:eastAsia="仿宋_GB2312" w:cs="Times New Roman"/>
          <w:sz w:val="32"/>
          <w:szCs w:val="32"/>
          <w:lang w:eastAsia="zh-CN"/>
        </w:rPr>
        <w:t>、</w:t>
      </w:r>
      <w:r>
        <w:rPr>
          <w:rFonts w:hint="eastAsia" w:ascii="Times New Roman" w:hAnsi="Times New Roman" w:eastAsia="仿宋_GB2312" w:cs="Times New Roman"/>
          <w:color w:val="auto"/>
          <w:sz w:val="32"/>
          <w:szCs w:val="32"/>
        </w:rPr>
        <w:t>财政投资评审中心</w:t>
      </w:r>
      <w:r>
        <w:rPr>
          <w:rFonts w:hint="eastAsia" w:ascii="Times New Roman" w:hAnsi="Times New Roman" w:eastAsia="仿宋_GB2312" w:cs="Times New Roman"/>
          <w:color w:val="auto"/>
          <w:sz w:val="32"/>
          <w:szCs w:val="32"/>
          <w:lang w:eastAsia="zh-CN"/>
        </w:rPr>
        <w:t>、财政结算中心</w:t>
      </w:r>
      <w:r>
        <w:rPr>
          <w:rFonts w:hint="eastAsia" w:ascii="Times New Roman" w:hAnsi="Times New Roman" w:eastAsia="仿宋_GB2312" w:cs="Times New Roman"/>
          <w:color w:val="auto"/>
          <w:sz w:val="32"/>
          <w:szCs w:val="32"/>
        </w:rPr>
        <w:t>和</w:t>
      </w:r>
      <w:r>
        <w:rPr>
          <w:rFonts w:hint="eastAsia" w:ascii="Times New Roman" w:hAnsi="Times New Roman" w:eastAsia="仿宋_GB2312" w:cs="Times New Roman"/>
          <w:color w:val="auto"/>
          <w:sz w:val="32"/>
          <w:szCs w:val="32"/>
          <w:lang w:eastAsia="zh-CN"/>
        </w:rPr>
        <w:t>国资事务</w:t>
      </w:r>
      <w:r>
        <w:rPr>
          <w:rFonts w:hint="eastAsia" w:ascii="Times New Roman" w:hAnsi="Times New Roman" w:eastAsia="仿宋_GB2312" w:cs="Times New Roman"/>
          <w:color w:val="auto"/>
          <w:sz w:val="32"/>
          <w:szCs w:val="32"/>
        </w:rPr>
        <w:t>中心。</w:t>
      </w:r>
      <w:r>
        <w:rPr>
          <w:rFonts w:hint="eastAsia" w:asciiTheme="minorEastAsia" w:hAnsiTheme="minorEastAsia" w:cstheme="minorEastAsia"/>
          <w:color w:val="auto"/>
          <w:sz w:val="28"/>
          <w:szCs w:val="28"/>
          <w:highlight w:val="none"/>
          <w:lang w:val="en-US" w:eastAsia="zh-CN"/>
        </w:rPr>
        <w:t xml:space="preserve">  </w:t>
      </w:r>
    </w:p>
    <w:p>
      <w:pPr>
        <w:ind w:firstLine="643" w:firstLineChars="200"/>
        <w:rPr>
          <w:rFonts w:hint="eastAsia" w:ascii="Times New Roman" w:hAnsi="Times New Roman" w:eastAsia="黑体" w:cs="Times New Roman"/>
          <w:b/>
          <w:bCs/>
          <w:kern w:val="0"/>
          <w:sz w:val="32"/>
          <w:szCs w:val="32"/>
          <w:highlight w:val="none"/>
        </w:rPr>
      </w:pPr>
      <w:r>
        <w:rPr>
          <w:rFonts w:hint="eastAsia" w:ascii="Times New Roman" w:hAnsi="Times New Roman" w:eastAsia="黑体" w:cs="Times New Roman"/>
          <w:b/>
          <w:bCs/>
          <w:kern w:val="0"/>
          <w:sz w:val="32"/>
          <w:szCs w:val="32"/>
          <w:highlight w:val="none"/>
        </w:rPr>
        <w:t>二、部门预算单位构成</w:t>
      </w:r>
    </w:p>
    <w:p>
      <w:pPr>
        <w:spacing w:line="570" w:lineRule="atLeast"/>
        <w:ind w:firstLine="640" w:firstLineChars="200"/>
        <w:rPr>
          <w:rFonts w:hint="eastAsia" w:ascii="仿宋_GB2312" w:hAnsi="仿宋_GB2312" w:eastAsia="仿宋_GB2312" w:cs="仿宋_GB2312"/>
          <w:color w:val="000000"/>
          <w:sz w:val="32"/>
          <w:szCs w:val="32"/>
          <w:highlight w:val="none"/>
          <w:shd w:val="clear" w:color="auto" w:fill="FFFFFF"/>
          <w:lang w:val="en-US" w:eastAsia="zh-CN"/>
        </w:rPr>
      </w:pPr>
      <w:r>
        <w:rPr>
          <w:rFonts w:hint="eastAsia" w:ascii="仿宋_GB2312" w:hAnsi="仿宋_GB2312" w:eastAsia="仿宋_GB2312" w:cs="仿宋_GB2312"/>
          <w:color w:val="000000"/>
          <w:sz w:val="32"/>
          <w:szCs w:val="32"/>
          <w:highlight w:val="none"/>
          <w:shd w:val="clear" w:color="auto" w:fill="FFFFFF"/>
          <w:lang w:val="en-US" w:eastAsia="zh-CN"/>
        </w:rPr>
        <w:t>本部门预算为汇总预算，纳入2024年部门预算编制范围的预算单位包括：</w:t>
      </w:r>
    </w:p>
    <w:p>
      <w:pPr>
        <w:widowControl/>
        <w:spacing w:line="600" w:lineRule="exact"/>
        <w:ind w:firstLine="627" w:firstLineChars="196"/>
        <w:jc w:val="left"/>
        <w:rPr>
          <w:rFonts w:hint="eastAsia" w:ascii="Times New Roman" w:hAnsi="Times New Roman" w:eastAsia="仿宋_GB2312" w:cs="Times New Roman"/>
          <w:sz w:val="32"/>
          <w:szCs w:val="32"/>
        </w:rPr>
      </w:pPr>
      <w:r>
        <w:rPr>
          <w:rFonts w:hint="eastAsia" w:ascii="仿宋_GB2312" w:hAnsi="仿宋_GB2312" w:eastAsia="仿宋_GB2312" w:cs="仿宋_GB2312"/>
          <w:color w:val="000000"/>
          <w:sz w:val="32"/>
          <w:szCs w:val="32"/>
          <w:highlight w:val="none"/>
          <w:shd w:val="clear" w:color="auto" w:fill="FFFFFF"/>
          <w:lang w:val="en-US" w:eastAsia="zh-CN"/>
        </w:rPr>
        <w:t>1.</w:t>
      </w:r>
      <w:r>
        <w:rPr>
          <w:rFonts w:hint="eastAsia" w:ascii="Times New Roman" w:hAnsi="Times New Roman" w:eastAsia="仿宋_GB2312" w:cs="Times New Roman"/>
          <w:sz w:val="32"/>
          <w:szCs w:val="32"/>
        </w:rPr>
        <w:t>君山区财政局本级</w:t>
      </w:r>
    </w:p>
    <w:p>
      <w:pPr>
        <w:spacing w:line="570" w:lineRule="atLeast"/>
        <w:ind w:firstLine="640" w:firstLineChars="200"/>
        <w:rPr>
          <w:rFonts w:hint="eastAsia" w:ascii="Times New Roman" w:hAnsi="Times New Roman" w:eastAsia="仿宋_GB2312" w:cs="Times New Roman"/>
          <w:sz w:val="32"/>
          <w:szCs w:val="32"/>
        </w:rPr>
      </w:pPr>
      <w:r>
        <w:rPr>
          <w:rFonts w:hint="eastAsia" w:ascii="仿宋_GB2312" w:hAnsi="仿宋_GB2312" w:eastAsia="仿宋_GB2312" w:cs="仿宋_GB2312"/>
          <w:color w:val="000000"/>
          <w:sz w:val="32"/>
          <w:szCs w:val="32"/>
          <w:highlight w:val="none"/>
          <w:shd w:val="clear" w:color="auto" w:fill="FFFFFF"/>
          <w:lang w:val="en-US" w:eastAsia="zh-CN"/>
        </w:rPr>
        <w:t>2.</w:t>
      </w:r>
      <w:r>
        <w:rPr>
          <w:rFonts w:hint="eastAsia" w:ascii="Times New Roman" w:hAnsi="Times New Roman" w:eastAsia="仿宋_GB2312" w:cs="Times New Roman"/>
          <w:sz w:val="32"/>
          <w:szCs w:val="32"/>
        </w:rPr>
        <w:t>国库集中支付核算中心</w:t>
      </w:r>
    </w:p>
    <w:p>
      <w:pPr>
        <w:widowControl/>
        <w:spacing w:line="600" w:lineRule="exact"/>
        <w:ind w:firstLine="627" w:firstLineChars="196"/>
        <w:jc w:val="left"/>
        <w:rPr>
          <w:rFonts w:hint="eastAsia" w:ascii="Times New Roman" w:hAnsi="Times New Roman" w:eastAsia="仿宋_GB2312" w:cs="Times New Roman"/>
          <w:sz w:val="32"/>
          <w:szCs w:val="32"/>
        </w:rPr>
      </w:pPr>
      <w:r>
        <w:rPr>
          <w:rFonts w:hint="eastAsia" w:ascii="仿宋_GB2312" w:hAnsi="仿宋_GB2312" w:eastAsia="仿宋_GB2312" w:cs="仿宋_GB2312"/>
          <w:color w:val="000000"/>
          <w:sz w:val="32"/>
          <w:szCs w:val="32"/>
          <w:highlight w:val="none"/>
          <w:shd w:val="clear" w:color="auto" w:fill="FFFFFF"/>
          <w:lang w:val="en-US" w:eastAsia="zh-CN"/>
        </w:rPr>
        <w:t>3.</w:t>
      </w:r>
      <w:r>
        <w:rPr>
          <w:rFonts w:hint="eastAsia" w:ascii="Times New Roman" w:hAnsi="Times New Roman" w:eastAsia="仿宋_GB2312" w:cs="Times New Roman"/>
          <w:sz w:val="32"/>
          <w:szCs w:val="32"/>
        </w:rPr>
        <w:t xml:space="preserve">乡镇财政服务中心 </w:t>
      </w:r>
    </w:p>
    <w:p>
      <w:pPr>
        <w:widowControl/>
        <w:spacing w:line="600" w:lineRule="exact"/>
        <w:ind w:firstLine="627" w:firstLineChars="196"/>
        <w:jc w:val="left"/>
        <w:rPr>
          <w:rFonts w:hint="eastAsia" w:ascii="仿宋_GB2312" w:hAnsi="仿宋_GB2312" w:eastAsia="仿宋_GB2312" w:cs="仿宋_GB2312"/>
          <w:color w:val="000000"/>
          <w:sz w:val="32"/>
          <w:szCs w:val="32"/>
          <w:highlight w:val="none"/>
          <w:shd w:val="clear" w:color="auto" w:fill="FFFFFF"/>
          <w:lang w:val="en-US" w:eastAsia="zh-CN"/>
        </w:rPr>
      </w:pPr>
      <w:r>
        <w:rPr>
          <w:rFonts w:hint="eastAsia" w:ascii="仿宋_GB2312" w:hAnsi="仿宋_GB2312" w:eastAsia="仿宋_GB2312" w:cs="仿宋_GB2312"/>
          <w:color w:val="000000"/>
          <w:sz w:val="32"/>
          <w:szCs w:val="32"/>
          <w:highlight w:val="none"/>
          <w:shd w:val="clear" w:color="auto" w:fill="FFFFFF"/>
          <w:lang w:val="en-US" w:eastAsia="zh-CN"/>
        </w:rPr>
        <w:t>4.</w:t>
      </w:r>
      <w:r>
        <w:rPr>
          <w:rFonts w:hint="eastAsia" w:ascii="Times New Roman" w:hAnsi="Times New Roman" w:eastAsia="仿宋_GB2312" w:cs="Times New Roman"/>
          <w:sz w:val="32"/>
          <w:szCs w:val="32"/>
        </w:rPr>
        <w:t>财政事务中心</w:t>
      </w:r>
    </w:p>
    <w:p>
      <w:pPr>
        <w:ind w:firstLine="643" w:firstLineChars="200"/>
        <w:rPr>
          <w:rFonts w:hint="eastAsia" w:ascii="Times New Roman" w:hAnsi="Times New Roman" w:eastAsia="黑体" w:cs="Times New Roman"/>
          <w:b/>
          <w:bCs/>
          <w:kern w:val="0"/>
          <w:sz w:val="32"/>
          <w:szCs w:val="32"/>
          <w:highlight w:val="none"/>
        </w:rPr>
      </w:pPr>
      <w:r>
        <w:rPr>
          <w:rFonts w:hint="eastAsia" w:ascii="Times New Roman" w:hAnsi="Times New Roman" w:eastAsia="黑体" w:cs="Times New Roman"/>
          <w:b/>
          <w:bCs/>
          <w:kern w:val="0"/>
          <w:sz w:val="32"/>
          <w:szCs w:val="32"/>
          <w:highlight w:val="none"/>
          <w:lang w:val="en-US" w:eastAsia="zh-CN"/>
        </w:rPr>
        <w:t>三、</w:t>
      </w:r>
      <w:r>
        <w:rPr>
          <w:rFonts w:hint="eastAsia" w:ascii="Times New Roman" w:hAnsi="Times New Roman" w:eastAsia="黑体" w:cs="Times New Roman"/>
          <w:b/>
          <w:bCs/>
          <w:kern w:val="0"/>
          <w:sz w:val="32"/>
          <w:szCs w:val="32"/>
          <w:highlight w:val="none"/>
        </w:rPr>
        <w:t>部门收支总体情况</w:t>
      </w:r>
    </w:p>
    <w:p>
      <w:pPr>
        <w:spacing w:line="570" w:lineRule="atLeast"/>
        <w:ind w:firstLine="640" w:firstLineChars="200"/>
        <w:rPr>
          <w:rFonts w:hint="eastAsia" w:ascii="仿宋_GB2312" w:hAnsi="仿宋_GB2312" w:eastAsia="仿宋_GB2312" w:cs="仿宋_GB2312"/>
          <w:color w:val="000000"/>
          <w:sz w:val="32"/>
          <w:szCs w:val="32"/>
          <w:highlight w:val="none"/>
          <w:shd w:val="clear" w:color="auto" w:fill="FFFFFF"/>
          <w:lang w:val="en-US" w:eastAsia="zh-CN"/>
        </w:rPr>
      </w:pPr>
      <w:r>
        <w:rPr>
          <w:rFonts w:hint="eastAsia" w:ascii="仿宋_GB2312" w:hAnsi="仿宋_GB2312" w:eastAsia="仿宋_GB2312" w:cs="仿宋_GB2312"/>
          <w:color w:val="000000"/>
          <w:sz w:val="32"/>
          <w:szCs w:val="32"/>
          <w:highlight w:val="none"/>
          <w:shd w:val="clear" w:color="auto" w:fill="FFFFFF"/>
          <w:lang w:val="en-US" w:eastAsia="zh-CN"/>
        </w:rPr>
        <w:t>本部门2024年没有政府性基金预算拨款、国有资本经营预算收入和纳入专户管理的非税收入拨款收入，也没有使用政府性基金预算拨款、国有资本经营预算收入和纳入专户管理的非税收入拨款安排的支出，所以部门预算公开表15、16、17、18、19表均为空。</w:t>
      </w:r>
    </w:p>
    <w:p>
      <w:pPr>
        <w:numPr>
          <w:ilvl w:val="0"/>
          <w:numId w:val="1"/>
        </w:numPr>
        <w:spacing w:line="570" w:lineRule="atLeast"/>
        <w:ind w:firstLine="643" w:firstLineChars="200"/>
        <w:rPr>
          <w:rFonts w:hint="eastAsia" w:ascii="仿宋_GB2312" w:hAnsi="仿宋_GB2312" w:eastAsia="仿宋_GB2312" w:cs="仿宋_GB2312"/>
          <w:color w:val="000000"/>
          <w:sz w:val="32"/>
          <w:szCs w:val="32"/>
          <w:shd w:val="clear" w:color="auto" w:fill="FFFFFF"/>
          <w:lang w:val="en-US" w:eastAsia="zh-CN"/>
        </w:rPr>
      </w:pPr>
      <w:r>
        <w:rPr>
          <w:rFonts w:hint="eastAsia" w:ascii="仿宋_GB2312" w:hAnsi="仿宋_GB2312" w:eastAsia="仿宋_GB2312" w:cs="仿宋_GB2312"/>
          <w:b/>
          <w:bCs/>
          <w:color w:val="000000"/>
          <w:sz w:val="32"/>
          <w:szCs w:val="32"/>
          <w:highlight w:val="none"/>
          <w:shd w:val="clear" w:color="auto" w:fill="FFFFFF"/>
          <w:lang w:val="en-US" w:eastAsia="zh-CN"/>
        </w:rPr>
        <w:t>收入预算：</w:t>
      </w:r>
      <w:r>
        <w:rPr>
          <w:rFonts w:hint="eastAsia" w:ascii="仿宋_GB2312" w:hAnsi="仿宋_GB2312" w:eastAsia="仿宋_GB2312" w:cs="仿宋_GB2312"/>
          <w:color w:val="000000"/>
          <w:sz w:val="32"/>
          <w:szCs w:val="32"/>
          <w:highlight w:val="none"/>
          <w:shd w:val="clear" w:color="auto" w:fill="FFFFFF"/>
          <w:lang w:val="en-US" w:eastAsia="zh-CN"/>
        </w:rPr>
        <w:t>包括一般公共预算、政府性基金、国有资本经营预算等财政拨款收入，以及经营收入、事业收入等单位资金。2024年本部门收入预算2158.5万元，其中，一般公共预算拨款2158.5万元，政府性基金预算资金0.00万元(所以部门预算公开表15-17表为空)，国有资本经营预算资金0.00万元(所以部门预算公开表18表为空)，财政专户管理资金0.00万元(所以部门预算公开表19表为空)，上</w:t>
      </w:r>
      <w:r>
        <w:rPr>
          <w:rFonts w:hint="eastAsia" w:ascii="仿宋_GB2312" w:hAnsi="仿宋_GB2312" w:eastAsia="仿宋_GB2312" w:cs="仿宋_GB2312"/>
          <w:color w:val="000000"/>
          <w:sz w:val="32"/>
          <w:szCs w:val="32"/>
          <w:shd w:val="clear" w:color="auto" w:fill="FFFFFF"/>
          <w:lang w:val="en-US" w:eastAsia="zh-CN"/>
        </w:rPr>
        <w:t>级补助收入资金0.00万元，事业单位经营收入资金0.00万元，上年结转结余0.00万元。收入较去年减少228.16万元，下降9.56%。主要原因是一方面</w:t>
      </w:r>
      <w:r>
        <w:rPr>
          <w:rFonts w:hint="eastAsia" w:ascii="仿宋_GB2312" w:hAnsi="仿宋_GB2312" w:eastAsia="仿宋_GB2312" w:cs="仿宋_GB2312"/>
          <w:color w:val="auto"/>
          <w:sz w:val="32"/>
          <w:szCs w:val="32"/>
          <w:shd w:val="clear" w:color="auto" w:fill="FFFFFF"/>
          <w:lang w:val="en-US" w:eastAsia="zh-CN"/>
        </w:rPr>
        <w:t>今年没有安排非税系统改革升级费用50万元；另一</w:t>
      </w:r>
      <w:r>
        <w:rPr>
          <w:rFonts w:hint="eastAsia" w:ascii="仿宋_GB2312" w:hAnsi="仿宋_GB2312" w:eastAsia="仿宋_GB2312" w:cs="仿宋_GB2312"/>
          <w:color w:val="000000"/>
          <w:sz w:val="32"/>
          <w:szCs w:val="32"/>
          <w:shd w:val="clear" w:color="auto" w:fill="FFFFFF"/>
          <w:lang w:val="en-US" w:eastAsia="zh-CN"/>
        </w:rPr>
        <w:t>方面</w:t>
      </w:r>
      <w:r>
        <w:rPr>
          <w:rFonts w:hint="eastAsia" w:eastAsia="仿宋_GB2312"/>
          <w:sz w:val="32"/>
          <w:szCs w:val="32"/>
          <w:lang w:eastAsia="zh-CN"/>
        </w:rPr>
        <w:t>本部门牢固树立过</w:t>
      </w:r>
      <w:r>
        <w:rPr>
          <w:rFonts w:hint="eastAsia" w:ascii="Times New Roman" w:hAnsi="Times New Roman" w:eastAsia="仿宋_GB2312" w:cs="Times New Roman"/>
          <w:color w:val="auto"/>
          <w:sz w:val="32"/>
          <w:szCs w:val="32"/>
          <w:lang w:eastAsia="zh-CN"/>
        </w:rPr>
        <w:t>紧日子思想，发扬艰苦奋斗精神，压缩机关运转经费支出规模</w:t>
      </w:r>
      <w:r>
        <w:rPr>
          <w:rFonts w:hint="eastAsia" w:ascii="仿宋_GB2312" w:hAnsi="仿宋_GB2312" w:eastAsia="仿宋_GB2312" w:cs="仿宋_GB2312"/>
          <w:color w:val="000000"/>
          <w:sz w:val="32"/>
          <w:szCs w:val="32"/>
          <w:shd w:val="clear" w:color="auto" w:fill="FFFFFF"/>
          <w:lang w:val="en-US" w:eastAsia="zh-CN"/>
        </w:rPr>
        <w:t>，从而导致商品服务预算支出减少。</w:t>
      </w:r>
    </w:p>
    <w:p>
      <w:pPr>
        <w:numPr>
          <w:ilvl w:val="0"/>
          <w:numId w:val="0"/>
        </w:numPr>
        <w:spacing w:line="570" w:lineRule="atLeast"/>
        <w:rPr>
          <w:rFonts w:hint="eastAsia" w:ascii="仿宋_GB2312" w:hAnsi="仿宋_GB2312" w:eastAsia="仿宋_GB2312" w:cs="仿宋_GB2312"/>
          <w:color w:val="000000"/>
          <w:sz w:val="32"/>
          <w:szCs w:val="32"/>
          <w:shd w:val="clear" w:color="auto" w:fill="FFFFFF"/>
          <w:lang w:val="en-US" w:eastAsia="zh-CN"/>
        </w:rPr>
      </w:pPr>
      <w:r>
        <w:drawing>
          <wp:inline distT="0" distB="0" distL="114300" distR="114300">
            <wp:extent cx="4886325" cy="2667000"/>
            <wp:effectExtent l="6350" t="6350" r="22225" b="12700"/>
            <wp:docPr id="4" name="图表 3"/>
            <wp:cNvGraphicFramePr/>
            <a:graphic xmlns:a="http://schemas.openxmlformats.org/drawingml/2006/main">
              <a:graphicData uri="http://schemas.openxmlformats.org/drawingml/2006/chart">
                <c:chart xmlns:c="http://schemas.openxmlformats.org/drawingml/2006/chart" xmlns:r="http://schemas.openxmlformats.org/officeDocument/2006/relationships" r:id="rId4"/>
              </a:graphicData>
            </a:graphic>
          </wp:inline>
        </w:drawing>
      </w:r>
    </w:p>
    <w:p>
      <w:pPr>
        <w:numPr>
          <w:ilvl w:val="0"/>
          <w:numId w:val="2"/>
        </w:numPr>
        <w:spacing w:line="570" w:lineRule="atLeast"/>
        <w:ind w:left="0" w:leftChars="0" w:firstLine="643" w:firstLineChars="200"/>
        <w:rPr>
          <w:rFonts w:hint="eastAsia" w:ascii="仿宋_GB2312" w:hAnsi="仿宋_GB2312" w:eastAsia="仿宋_GB2312" w:cs="仿宋_GB2312"/>
          <w:color w:val="auto"/>
          <w:sz w:val="32"/>
          <w:szCs w:val="32"/>
          <w:shd w:val="clear" w:color="auto" w:fill="FFFFFF"/>
          <w:lang w:val="en-US" w:eastAsia="zh-CN"/>
        </w:rPr>
      </w:pPr>
      <w:r>
        <w:rPr>
          <w:rFonts w:hint="eastAsia" w:ascii="仿宋_GB2312" w:hAnsi="仿宋_GB2312" w:eastAsia="仿宋_GB2312" w:cs="仿宋_GB2312"/>
          <w:b/>
          <w:bCs/>
          <w:color w:val="000000"/>
          <w:sz w:val="32"/>
          <w:szCs w:val="32"/>
          <w:shd w:val="clear" w:color="auto" w:fill="FFFFFF"/>
          <w:lang w:val="en-US" w:eastAsia="zh-CN"/>
        </w:rPr>
        <w:t>支出预算：</w:t>
      </w:r>
      <w:r>
        <w:rPr>
          <w:rFonts w:hint="eastAsia" w:ascii="仿宋_GB2312" w:hAnsi="仿宋_GB2312" w:eastAsia="仿宋_GB2312" w:cs="仿宋_GB2312"/>
          <w:color w:val="000000"/>
          <w:sz w:val="32"/>
          <w:szCs w:val="32"/>
          <w:shd w:val="clear" w:color="auto" w:fill="FFFFFF"/>
          <w:lang w:val="en-US" w:eastAsia="zh-CN"/>
        </w:rPr>
        <w:t>2024年本部门支出预算</w:t>
      </w:r>
      <w:r>
        <w:rPr>
          <w:rFonts w:hint="eastAsia" w:ascii="仿宋_GB2312" w:hAnsi="仿宋_GB2312" w:eastAsia="仿宋_GB2312" w:cs="仿宋_GB2312"/>
          <w:color w:val="000000"/>
          <w:sz w:val="32"/>
          <w:szCs w:val="32"/>
          <w:highlight w:val="none"/>
          <w:shd w:val="clear" w:color="auto" w:fill="FFFFFF"/>
          <w:lang w:val="en-US" w:eastAsia="zh-CN"/>
        </w:rPr>
        <w:t>2158.5</w:t>
      </w:r>
      <w:r>
        <w:rPr>
          <w:rFonts w:hint="eastAsia" w:ascii="仿宋_GB2312" w:hAnsi="仿宋_GB2312" w:eastAsia="仿宋_GB2312" w:cs="仿宋_GB2312"/>
          <w:color w:val="000000"/>
          <w:sz w:val="32"/>
          <w:szCs w:val="32"/>
          <w:shd w:val="clear" w:color="auto" w:fill="FFFFFF"/>
          <w:lang w:val="en-US" w:eastAsia="zh-CN"/>
        </w:rPr>
        <w:t>万元，其中：一般公共服务支出1868.7</w:t>
      </w:r>
      <w:r>
        <w:rPr>
          <w:rFonts w:hint="eastAsia" w:ascii="仿宋_GB2312" w:hAnsi="仿宋_GB2312" w:eastAsia="仿宋_GB2312" w:cs="仿宋_GB2312"/>
          <w:color w:val="auto"/>
          <w:sz w:val="32"/>
          <w:szCs w:val="32"/>
          <w:shd w:val="clear" w:color="auto" w:fill="FFFFFF"/>
          <w:lang w:val="en-US" w:eastAsia="zh-CN"/>
        </w:rPr>
        <w:t>4</w:t>
      </w:r>
      <w:r>
        <w:rPr>
          <w:rFonts w:hint="eastAsia" w:ascii="仿宋_GB2312" w:hAnsi="仿宋_GB2312" w:eastAsia="仿宋_GB2312" w:cs="仿宋_GB2312"/>
          <w:color w:val="000000"/>
          <w:sz w:val="32"/>
          <w:szCs w:val="32"/>
          <w:shd w:val="clear" w:color="auto" w:fill="FFFFFF"/>
          <w:lang w:val="en-US" w:eastAsia="zh-CN"/>
        </w:rPr>
        <w:t>万元，社会保障和就业支出162.72万元，卫生健康支出48.2</w:t>
      </w:r>
      <w:r>
        <w:rPr>
          <w:rFonts w:hint="eastAsia" w:ascii="仿宋_GB2312" w:hAnsi="仿宋_GB2312" w:eastAsia="仿宋_GB2312" w:cs="仿宋_GB2312"/>
          <w:color w:val="auto"/>
          <w:sz w:val="32"/>
          <w:szCs w:val="32"/>
          <w:shd w:val="clear" w:color="auto" w:fill="FFFFFF"/>
          <w:lang w:val="en-US" w:eastAsia="zh-CN"/>
        </w:rPr>
        <w:t>7</w:t>
      </w:r>
      <w:r>
        <w:rPr>
          <w:rFonts w:hint="eastAsia" w:ascii="仿宋_GB2312" w:hAnsi="仿宋_GB2312" w:eastAsia="仿宋_GB2312" w:cs="仿宋_GB2312"/>
          <w:color w:val="000000"/>
          <w:sz w:val="32"/>
          <w:szCs w:val="32"/>
          <w:shd w:val="clear" w:color="auto" w:fill="FFFFFF"/>
          <w:lang w:val="en-US" w:eastAsia="zh-CN"/>
        </w:rPr>
        <w:t>万元，住房保障支出78.77万元。支出较上年减少228.16万元，下降9.56%。主要原因是一方面</w:t>
      </w:r>
      <w:r>
        <w:rPr>
          <w:rFonts w:hint="eastAsia" w:ascii="仿宋_GB2312" w:hAnsi="仿宋_GB2312" w:eastAsia="仿宋_GB2312" w:cs="仿宋_GB2312"/>
          <w:color w:val="auto"/>
          <w:sz w:val="32"/>
          <w:szCs w:val="32"/>
          <w:shd w:val="clear" w:color="auto" w:fill="FFFFFF"/>
          <w:lang w:val="en-US" w:eastAsia="zh-CN"/>
        </w:rPr>
        <w:t>今年没有安排非税系统改革升级费用50万元；另一方面</w:t>
      </w:r>
      <w:r>
        <w:rPr>
          <w:rFonts w:hint="eastAsia" w:eastAsia="仿宋_GB2312"/>
          <w:color w:val="auto"/>
          <w:sz w:val="32"/>
          <w:szCs w:val="32"/>
          <w:lang w:eastAsia="zh-CN"/>
        </w:rPr>
        <w:t>本部门牢固树立过</w:t>
      </w:r>
      <w:r>
        <w:rPr>
          <w:rFonts w:hint="eastAsia" w:ascii="Times New Roman" w:hAnsi="Times New Roman" w:eastAsia="仿宋_GB2312" w:cs="Times New Roman"/>
          <w:color w:val="auto"/>
          <w:sz w:val="32"/>
          <w:szCs w:val="32"/>
          <w:lang w:eastAsia="zh-CN"/>
        </w:rPr>
        <w:t>紧日子思想，发扬艰苦奋斗精神，压缩机关运转经费支出规模</w:t>
      </w:r>
      <w:r>
        <w:rPr>
          <w:rFonts w:hint="eastAsia" w:ascii="仿宋_GB2312" w:hAnsi="仿宋_GB2312" w:eastAsia="仿宋_GB2312" w:cs="仿宋_GB2312"/>
          <w:color w:val="auto"/>
          <w:sz w:val="32"/>
          <w:szCs w:val="32"/>
          <w:shd w:val="clear" w:color="auto" w:fill="FFFFFF"/>
          <w:lang w:val="en-US" w:eastAsia="zh-CN"/>
        </w:rPr>
        <w:t>，从而导致商品服务预算支出减少。</w:t>
      </w:r>
    </w:p>
    <w:p>
      <w:pPr>
        <w:numPr>
          <w:ilvl w:val="0"/>
          <w:numId w:val="0"/>
        </w:numPr>
        <w:spacing w:line="570" w:lineRule="atLeast"/>
        <w:rPr>
          <w:rFonts w:hint="eastAsia" w:ascii="仿宋_GB2312" w:hAnsi="仿宋_GB2312" w:eastAsia="仿宋_GB2312" w:cs="仿宋_GB2312"/>
          <w:color w:val="000000"/>
          <w:sz w:val="32"/>
          <w:szCs w:val="32"/>
          <w:shd w:val="clear" w:color="auto" w:fill="FFFFFF"/>
          <w:lang w:val="en-US" w:eastAsia="zh-CN"/>
        </w:rPr>
      </w:pPr>
      <w:r>
        <w:rPr>
          <w:rFonts w:hint="eastAsia"/>
          <w:lang w:val="en-US" w:eastAsia="zh-CN"/>
        </w:rPr>
        <w:t xml:space="preserve">         </w:t>
      </w:r>
      <w:r>
        <w:drawing>
          <wp:inline distT="0" distB="0" distL="114300" distR="114300">
            <wp:extent cx="4596765" cy="3001010"/>
            <wp:effectExtent l="4445" t="4445" r="8890" b="23495"/>
            <wp:docPr id="2" name="图表 1" descr="7b0a202020202263686172745265734964223a20223230343735353931220a7d0a"/>
            <wp:cNvGraphicFramePr/>
            <a:graphic xmlns:a="http://schemas.openxmlformats.org/drawingml/2006/main">
              <a:graphicData uri="http://schemas.openxmlformats.org/drawingml/2006/chart">
                <c:chart xmlns:c="http://schemas.openxmlformats.org/drawingml/2006/chart" xmlns:r="http://schemas.openxmlformats.org/officeDocument/2006/relationships" r:id="rId5"/>
              </a:graphicData>
            </a:graphic>
          </wp:inline>
        </w:drawing>
      </w:r>
    </w:p>
    <w:p>
      <w:pPr>
        <w:ind w:firstLine="643" w:firstLineChars="200"/>
        <w:rPr>
          <w:rFonts w:hint="eastAsia" w:ascii="Times New Roman" w:hAnsi="Times New Roman" w:eastAsia="黑体" w:cs="Times New Roman"/>
          <w:b/>
          <w:bCs/>
          <w:kern w:val="0"/>
          <w:sz w:val="32"/>
          <w:szCs w:val="32"/>
        </w:rPr>
      </w:pPr>
      <w:r>
        <w:rPr>
          <w:rFonts w:hint="eastAsia" w:ascii="Times New Roman" w:hAnsi="Times New Roman" w:eastAsia="黑体" w:cs="Times New Roman"/>
          <w:b/>
          <w:bCs/>
          <w:kern w:val="0"/>
          <w:sz w:val="32"/>
          <w:szCs w:val="32"/>
        </w:rPr>
        <w:t>四、一般公共预算拨款支出</w:t>
      </w:r>
    </w:p>
    <w:p>
      <w:pPr>
        <w:spacing w:line="570" w:lineRule="atLeast"/>
        <w:ind w:firstLine="640" w:firstLineChars="200"/>
        <w:rPr>
          <w:rFonts w:hint="eastAsia" w:ascii="仿宋_GB2312" w:hAnsi="仿宋_GB2312" w:eastAsia="仿宋_GB2312" w:cs="仿宋_GB2312"/>
          <w:color w:val="000000"/>
          <w:sz w:val="32"/>
          <w:szCs w:val="32"/>
          <w:shd w:val="clear" w:color="auto" w:fill="FFFFFF"/>
          <w:lang w:val="en-US" w:eastAsia="zh-CN"/>
        </w:rPr>
      </w:pPr>
      <w:r>
        <w:rPr>
          <w:rFonts w:hint="eastAsia" w:ascii="仿宋_GB2312" w:hAnsi="仿宋_GB2312" w:eastAsia="仿宋_GB2312" w:cs="仿宋_GB2312"/>
          <w:color w:val="000000"/>
          <w:sz w:val="32"/>
          <w:szCs w:val="32"/>
          <w:shd w:val="clear" w:color="auto" w:fill="FFFFFF"/>
          <w:lang w:val="en-US" w:eastAsia="zh-CN"/>
        </w:rPr>
        <w:t>2024年本部门一般公共预算拨款支出</w:t>
      </w:r>
      <w:r>
        <w:rPr>
          <w:rFonts w:hint="eastAsia" w:ascii="仿宋_GB2312" w:hAnsi="仿宋_GB2312" w:eastAsia="仿宋_GB2312" w:cs="仿宋_GB2312"/>
          <w:color w:val="000000"/>
          <w:sz w:val="32"/>
          <w:szCs w:val="32"/>
          <w:highlight w:val="none"/>
          <w:shd w:val="clear" w:color="auto" w:fill="FFFFFF"/>
          <w:lang w:val="en-US" w:eastAsia="zh-CN"/>
        </w:rPr>
        <w:t>2158.5</w:t>
      </w:r>
      <w:r>
        <w:rPr>
          <w:rFonts w:hint="eastAsia" w:ascii="仿宋_GB2312" w:hAnsi="仿宋_GB2312" w:eastAsia="仿宋_GB2312" w:cs="仿宋_GB2312"/>
          <w:color w:val="000000"/>
          <w:sz w:val="32"/>
          <w:szCs w:val="32"/>
          <w:shd w:val="clear" w:color="auto" w:fill="FFFFFF"/>
          <w:lang w:val="en-US" w:eastAsia="zh-CN"/>
        </w:rPr>
        <w:t>万元，其中：一般公共服务支出1868.7</w:t>
      </w:r>
      <w:r>
        <w:rPr>
          <w:rFonts w:hint="eastAsia" w:ascii="仿宋_GB2312" w:hAnsi="仿宋_GB2312" w:eastAsia="仿宋_GB2312" w:cs="仿宋_GB2312"/>
          <w:color w:val="auto"/>
          <w:sz w:val="32"/>
          <w:szCs w:val="32"/>
          <w:shd w:val="clear" w:color="auto" w:fill="FFFFFF"/>
          <w:lang w:val="en-US" w:eastAsia="zh-CN"/>
        </w:rPr>
        <w:t>4</w:t>
      </w:r>
      <w:r>
        <w:rPr>
          <w:rFonts w:hint="eastAsia" w:ascii="仿宋_GB2312" w:hAnsi="仿宋_GB2312" w:eastAsia="仿宋_GB2312" w:cs="仿宋_GB2312"/>
          <w:color w:val="000000"/>
          <w:sz w:val="32"/>
          <w:szCs w:val="32"/>
          <w:shd w:val="clear" w:color="auto" w:fill="FFFFFF"/>
          <w:lang w:val="en-US" w:eastAsia="zh-CN"/>
        </w:rPr>
        <w:t>万元，占86.58%；社会保障和就业支出162.72万元，占7.54%；卫生健康支出48.2</w:t>
      </w:r>
      <w:r>
        <w:rPr>
          <w:rFonts w:hint="eastAsia" w:ascii="仿宋_GB2312" w:hAnsi="仿宋_GB2312" w:eastAsia="仿宋_GB2312" w:cs="仿宋_GB2312"/>
          <w:color w:val="auto"/>
          <w:sz w:val="32"/>
          <w:szCs w:val="32"/>
          <w:shd w:val="clear" w:color="auto" w:fill="FFFFFF"/>
          <w:lang w:val="en-US" w:eastAsia="zh-CN"/>
        </w:rPr>
        <w:t>7</w:t>
      </w:r>
      <w:r>
        <w:rPr>
          <w:rFonts w:hint="eastAsia" w:ascii="仿宋_GB2312" w:hAnsi="仿宋_GB2312" w:eastAsia="仿宋_GB2312" w:cs="仿宋_GB2312"/>
          <w:color w:val="000000"/>
          <w:sz w:val="32"/>
          <w:szCs w:val="32"/>
          <w:shd w:val="clear" w:color="auto" w:fill="FFFFFF"/>
          <w:lang w:val="en-US" w:eastAsia="zh-CN"/>
        </w:rPr>
        <w:t>万元，占2.23%；住房保障支出78.77万元，占3.65%。具体安排情况如下：</w:t>
      </w:r>
    </w:p>
    <w:p>
      <w:pPr>
        <w:spacing w:line="570" w:lineRule="atLeast"/>
        <w:ind w:firstLine="643" w:firstLineChars="200"/>
        <w:rPr>
          <w:rFonts w:hint="eastAsia" w:ascii="仿宋_GB2312" w:hAnsi="仿宋_GB2312" w:eastAsia="仿宋_GB2312" w:cs="仿宋_GB2312"/>
          <w:color w:val="000000"/>
          <w:sz w:val="32"/>
          <w:szCs w:val="32"/>
          <w:shd w:val="clear" w:color="auto" w:fill="FFFFFF"/>
          <w:lang w:val="en-US" w:eastAsia="zh-CN"/>
        </w:rPr>
      </w:pPr>
      <w:r>
        <w:rPr>
          <w:rFonts w:hint="eastAsia" w:ascii="仿宋_GB2312" w:hAnsi="仿宋_GB2312" w:eastAsia="仿宋_GB2312" w:cs="仿宋_GB2312"/>
          <w:b/>
          <w:bCs/>
          <w:color w:val="000000"/>
          <w:sz w:val="32"/>
          <w:szCs w:val="32"/>
          <w:shd w:val="clear" w:color="auto" w:fill="FFFFFF"/>
          <w:lang w:val="en-US" w:eastAsia="zh-CN"/>
        </w:rPr>
        <w:t>（一）基本支出：</w:t>
      </w:r>
      <w:r>
        <w:rPr>
          <w:rFonts w:hint="eastAsia" w:ascii="仿宋_GB2312" w:hAnsi="仿宋_GB2312" w:eastAsia="仿宋_GB2312" w:cs="仿宋_GB2312"/>
          <w:color w:val="000000"/>
          <w:sz w:val="32"/>
          <w:szCs w:val="32"/>
          <w:shd w:val="clear" w:color="auto" w:fill="FFFFFF"/>
          <w:lang w:val="en-US" w:eastAsia="zh-CN"/>
        </w:rPr>
        <w:t>2024年本部门基本支出预算数</w:t>
      </w:r>
      <w:r>
        <w:rPr>
          <w:rFonts w:hint="eastAsia" w:ascii="仿宋_GB2312" w:hAnsi="仿宋_GB2312" w:eastAsia="仿宋_GB2312" w:cs="仿宋_GB2312"/>
          <w:color w:val="000000"/>
          <w:sz w:val="32"/>
          <w:szCs w:val="32"/>
          <w:highlight w:val="none"/>
          <w:shd w:val="clear" w:color="auto" w:fill="FFFFFF"/>
          <w:lang w:val="en-US" w:eastAsia="zh-CN"/>
        </w:rPr>
        <w:t>1091.21</w:t>
      </w:r>
      <w:r>
        <w:rPr>
          <w:rFonts w:hint="eastAsia" w:ascii="仿宋_GB2312" w:hAnsi="仿宋_GB2312" w:eastAsia="仿宋_GB2312" w:cs="仿宋_GB2312"/>
          <w:color w:val="000000"/>
          <w:sz w:val="32"/>
          <w:szCs w:val="32"/>
          <w:shd w:val="clear" w:color="auto" w:fill="FFFFFF"/>
          <w:lang w:val="en-US" w:eastAsia="zh-CN"/>
        </w:rPr>
        <w:t>万元，主要是为保障部门正常运转、完成日常工作任务而发生的各项支出，包括用于基本工资、津贴补贴等人员经费以及办公费、印刷费、水电费、办公设备购置等公用经费。</w:t>
      </w:r>
    </w:p>
    <w:p>
      <w:pPr>
        <w:widowControl/>
        <w:numPr>
          <w:ilvl w:val="0"/>
          <w:numId w:val="0"/>
        </w:numPr>
        <w:spacing w:line="600" w:lineRule="exact"/>
        <w:ind w:left="660" w:leftChars="0"/>
        <w:jc w:val="left"/>
        <w:rPr>
          <w:rFonts w:hint="eastAsia" w:ascii="仿宋_GB2312" w:hAnsi="仿宋_GB2312" w:eastAsia="仿宋_GB2312" w:cs="仿宋_GB2312"/>
          <w:color w:val="000000"/>
          <w:sz w:val="32"/>
          <w:szCs w:val="32"/>
          <w:shd w:val="clear" w:color="auto" w:fill="FFFFFF"/>
          <w:lang w:val="en-US" w:eastAsia="zh-CN"/>
        </w:rPr>
      </w:pPr>
      <w:r>
        <w:rPr>
          <w:rFonts w:hint="eastAsia" w:ascii="仿宋_GB2312" w:hAnsi="仿宋_GB2312" w:eastAsia="仿宋_GB2312" w:cs="仿宋_GB2312"/>
          <w:b/>
          <w:bCs/>
          <w:color w:val="000000"/>
          <w:sz w:val="32"/>
          <w:szCs w:val="32"/>
          <w:shd w:val="clear" w:color="auto" w:fill="FFFFFF"/>
          <w:lang w:val="en-US" w:eastAsia="zh-CN"/>
        </w:rPr>
        <w:t>（二）项目支出：</w:t>
      </w:r>
      <w:r>
        <w:rPr>
          <w:rFonts w:hint="eastAsia" w:ascii="仿宋_GB2312" w:hAnsi="仿宋_GB2312" w:eastAsia="仿宋_GB2312" w:cs="仿宋_GB2312"/>
          <w:color w:val="000000"/>
          <w:sz w:val="32"/>
          <w:szCs w:val="32"/>
          <w:shd w:val="clear" w:color="auto" w:fill="FFFFFF"/>
          <w:lang w:val="en-US" w:eastAsia="zh-CN"/>
        </w:rPr>
        <w:t>2024年本部门项目支出预算1067.29</w:t>
      </w:r>
    </w:p>
    <w:p>
      <w:pPr>
        <w:widowControl/>
        <w:numPr>
          <w:ilvl w:val="0"/>
          <w:numId w:val="0"/>
        </w:numPr>
        <w:spacing w:line="600" w:lineRule="exact"/>
        <w:jc w:val="left"/>
        <w:rPr>
          <w:rFonts w:hint="eastAsia" w:ascii="Times New Roman" w:hAnsi="Times New Roman" w:eastAsia="仿宋_GB2312" w:cs="Times New Roman"/>
          <w:color w:val="FF0000"/>
          <w:sz w:val="32"/>
          <w:szCs w:val="32"/>
          <w:lang w:val="en-US" w:eastAsia="zh-CN"/>
        </w:rPr>
      </w:pPr>
      <w:r>
        <w:rPr>
          <w:rFonts w:hint="eastAsia" w:ascii="仿宋_GB2312" w:hAnsi="仿宋_GB2312" w:eastAsia="仿宋_GB2312" w:cs="仿宋_GB2312"/>
          <w:color w:val="000000"/>
          <w:sz w:val="32"/>
          <w:szCs w:val="32"/>
          <w:shd w:val="clear" w:color="auto" w:fill="FFFFFF"/>
          <w:lang w:val="en-US" w:eastAsia="zh-CN"/>
        </w:rPr>
        <w:t>万元，主要是本部门为完成特定工作任务或事业发展目标而发生的支出，包括乡镇财政专项、财政事务专项、业务工作经费费等，其中：一般公共服务支出1067.29万元，主要用于</w:t>
      </w:r>
      <w:r>
        <w:rPr>
          <w:rFonts w:hint="eastAsia" w:ascii="Times New Roman" w:hAnsi="Times New Roman" w:eastAsia="仿宋_GB2312" w:cs="Times New Roman"/>
          <w:sz w:val="32"/>
          <w:szCs w:val="32"/>
          <w:lang w:eastAsia="zh-CN"/>
        </w:rPr>
        <w:t>财政投资评审工作经费支出1</w:t>
      </w:r>
      <w:r>
        <w:rPr>
          <w:rFonts w:hint="eastAsia" w:ascii="Times New Roman" w:hAnsi="Times New Roman" w:eastAsia="仿宋_GB2312" w:cs="Times New Roman"/>
          <w:sz w:val="32"/>
          <w:szCs w:val="32"/>
          <w:lang w:val="en-US" w:eastAsia="zh-CN"/>
        </w:rPr>
        <w:t>17.43</w:t>
      </w:r>
      <w:r>
        <w:rPr>
          <w:rFonts w:hint="eastAsia" w:ascii="Times New Roman" w:hAnsi="Times New Roman" w:eastAsia="仿宋_GB2312" w:cs="Times New Roman"/>
          <w:sz w:val="32"/>
          <w:szCs w:val="32"/>
          <w:lang w:eastAsia="zh-CN"/>
        </w:rPr>
        <w:t>万元，用于评审中心人员工资，办公经费等方面；财政局（本级）业务工作经费支出</w:t>
      </w:r>
      <w:r>
        <w:rPr>
          <w:rFonts w:hint="eastAsia" w:ascii="Times New Roman" w:hAnsi="Times New Roman" w:eastAsia="仿宋_GB2312" w:cs="Times New Roman"/>
          <w:sz w:val="32"/>
          <w:szCs w:val="32"/>
          <w:lang w:val="en-US" w:eastAsia="zh-CN"/>
        </w:rPr>
        <w:t>123.2</w:t>
      </w:r>
      <w:r>
        <w:rPr>
          <w:rFonts w:hint="eastAsia" w:ascii="Times New Roman" w:hAnsi="Times New Roman" w:eastAsia="仿宋_GB2312" w:cs="Times New Roman"/>
          <w:sz w:val="32"/>
          <w:szCs w:val="32"/>
          <w:lang w:eastAsia="zh-CN"/>
        </w:rPr>
        <w:t>万元，用于预决算编制、财政监督、绩效评价、债务管理、会计改革、财政业务培训等方面；政府采购平台运营及维护、优化营商环境提升系统使用维护费等支出</w:t>
      </w:r>
      <w:r>
        <w:rPr>
          <w:rFonts w:hint="eastAsia" w:ascii="Times New Roman" w:hAnsi="Times New Roman" w:eastAsia="仿宋_GB2312" w:cs="Times New Roman"/>
          <w:sz w:val="32"/>
          <w:szCs w:val="32"/>
          <w:lang w:val="en-US" w:eastAsia="zh-CN"/>
        </w:rPr>
        <w:t>23.03</w:t>
      </w:r>
      <w:r>
        <w:rPr>
          <w:rFonts w:hint="eastAsia" w:ascii="Times New Roman" w:hAnsi="Times New Roman" w:eastAsia="仿宋_GB2312" w:cs="Times New Roman"/>
          <w:sz w:val="32"/>
          <w:szCs w:val="32"/>
          <w:lang w:eastAsia="zh-CN"/>
        </w:rPr>
        <w:t>万元，用于政采云平台运维费，政府采购内网审批系统维护费，优化营商环境提升系统使用维护费等；财政争资争项工作经费</w:t>
      </w:r>
      <w:r>
        <w:rPr>
          <w:rFonts w:hint="eastAsia" w:ascii="Times New Roman" w:hAnsi="Times New Roman" w:eastAsia="仿宋_GB2312" w:cs="Times New Roman"/>
          <w:sz w:val="32"/>
          <w:szCs w:val="32"/>
          <w:lang w:val="en-US" w:eastAsia="zh-CN"/>
        </w:rPr>
        <w:t>140万元，</w:t>
      </w:r>
      <w:r>
        <w:rPr>
          <w:rFonts w:hint="eastAsia" w:ascii="Times New Roman" w:hAnsi="Times New Roman" w:eastAsia="仿宋_GB2312" w:cs="Times New Roman"/>
          <w:sz w:val="32"/>
          <w:szCs w:val="32"/>
          <w:lang w:eastAsia="zh-CN"/>
        </w:rPr>
        <w:t>用于财政争资争项协</w:t>
      </w:r>
      <w:r>
        <w:rPr>
          <w:rFonts w:hint="eastAsia" w:ascii="Times New Roman" w:hAnsi="Times New Roman" w:eastAsia="仿宋_GB2312" w:cs="Times New Roman"/>
          <w:sz w:val="32"/>
          <w:szCs w:val="32"/>
          <w:lang w:val="en-US" w:eastAsia="zh-CN"/>
        </w:rPr>
        <w:t>调等专项工作经费</w:t>
      </w:r>
      <w:r>
        <w:rPr>
          <w:rFonts w:hint="eastAsia" w:ascii="Times New Roman" w:hAnsi="Times New Roman" w:eastAsia="仿宋_GB2312" w:cs="Times New Roman"/>
          <w:sz w:val="32"/>
          <w:szCs w:val="32"/>
          <w:lang w:eastAsia="zh-CN"/>
        </w:rPr>
        <w:t>；财政信息化建设</w:t>
      </w:r>
      <w:r>
        <w:rPr>
          <w:rFonts w:hint="eastAsia" w:ascii="Times New Roman" w:hAnsi="Times New Roman" w:eastAsia="仿宋_GB2312" w:cs="Times New Roman"/>
          <w:sz w:val="32"/>
          <w:szCs w:val="32"/>
          <w:lang w:val="en-US" w:eastAsia="zh-CN"/>
        </w:rPr>
        <w:t>67.69</w:t>
      </w:r>
      <w:r>
        <w:rPr>
          <w:rFonts w:hint="eastAsia" w:ascii="Times New Roman" w:hAnsi="Times New Roman" w:eastAsia="仿宋_GB2312" w:cs="Times New Roman"/>
          <w:sz w:val="32"/>
          <w:szCs w:val="32"/>
          <w:lang w:eastAsia="zh-CN"/>
        </w:rPr>
        <w:t>万元，用于财政信息化运维、机房设备续保、预算一体化会计核算系统、各预算单位及农行专线光纤租赁费用；</w:t>
      </w:r>
      <w:r>
        <w:rPr>
          <w:rFonts w:hint="eastAsia" w:ascii="Times New Roman" w:hAnsi="Times New Roman" w:eastAsia="仿宋_GB2312" w:cs="Times New Roman"/>
          <w:color w:val="auto"/>
          <w:sz w:val="32"/>
          <w:szCs w:val="32"/>
          <w:lang w:eastAsia="zh-CN"/>
        </w:rPr>
        <w:t>国库集中支付</w:t>
      </w:r>
      <w:r>
        <w:rPr>
          <w:rFonts w:hint="eastAsia" w:ascii="Times New Roman" w:hAnsi="Times New Roman" w:eastAsia="仿宋_GB2312" w:cs="Times New Roman"/>
          <w:sz w:val="32"/>
          <w:szCs w:val="32"/>
          <w:lang w:eastAsia="zh-CN"/>
        </w:rPr>
        <w:t>业务工作经费</w:t>
      </w:r>
      <w:r>
        <w:rPr>
          <w:rFonts w:hint="eastAsia" w:ascii="Times New Roman" w:hAnsi="Times New Roman" w:eastAsia="仿宋_GB2312" w:cs="Times New Roman"/>
          <w:sz w:val="32"/>
          <w:szCs w:val="32"/>
          <w:lang w:val="en-US" w:eastAsia="zh-CN"/>
        </w:rPr>
        <w:t>61.92</w:t>
      </w:r>
      <w:r>
        <w:rPr>
          <w:rFonts w:hint="eastAsia" w:ascii="Times New Roman" w:hAnsi="Times New Roman" w:eastAsia="仿宋_GB2312" w:cs="Times New Roman"/>
          <w:sz w:val="32"/>
          <w:szCs w:val="32"/>
          <w:lang w:eastAsia="zh-CN"/>
        </w:rPr>
        <w:t>万元，用于</w:t>
      </w:r>
      <w:r>
        <w:rPr>
          <w:rFonts w:hint="eastAsia" w:eastAsia="仿宋_GB2312"/>
          <w:sz w:val="32"/>
          <w:szCs w:val="32"/>
        </w:rPr>
        <w:t>国库集中支付运维、国库集中支付电路租赁及其他</w:t>
      </w:r>
      <w:r>
        <w:rPr>
          <w:rFonts w:hint="eastAsia" w:eastAsia="仿宋_GB2312"/>
          <w:sz w:val="32"/>
          <w:szCs w:val="32"/>
          <w:lang w:eastAsia="zh-CN"/>
        </w:rPr>
        <w:t>业务</w:t>
      </w:r>
      <w:r>
        <w:rPr>
          <w:rFonts w:hint="eastAsia" w:eastAsia="仿宋_GB2312"/>
          <w:sz w:val="32"/>
          <w:szCs w:val="32"/>
        </w:rPr>
        <w:t>工作经费等方面；</w:t>
      </w:r>
      <w:r>
        <w:rPr>
          <w:rFonts w:hint="eastAsia" w:ascii="Times New Roman" w:hAnsi="Times New Roman" w:eastAsia="仿宋_GB2312" w:cs="Times New Roman"/>
          <w:color w:val="auto"/>
          <w:sz w:val="32"/>
          <w:szCs w:val="32"/>
          <w:lang w:eastAsia="zh-CN"/>
        </w:rPr>
        <w:t>乡镇财政服务中心业务工作经费</w:t>
      </w:r>
      <w:r>
        <w:rPr>
          <w:rFonts w:hint="eastAsia" w:ascii="Times New Roman" w:hAnsi="Times New Roman" w:eastAsia="仿宋_GB2312" w:cs="Times New Roman"/>
          <w:sz w:val="32"/>
          <w:szCs w:val="32"/>
          <w:lang w:val="en-US" w:eastAsia="zh-CN"/>
        </w:rPr>
        <w:t>312万元，用于</w:t>
      </w:r>
      <w:r>
        <w:rPr>
          <w:rFonts w:hint="eastAsia" w:ascii="Times New Roman" w:hAnsi="Times New Roman" w:eastAsia="仿宋_GB2312" w:cs="Times New Roman"/>
          <w:sz w:val="32"/>
          <w:szCs w:val="32"/>
          <w:lang w:eastAsia="zh-CN"/>
        </w:rPr>
        <w:t>乡镇财政管理支出</w:t>
      </w:r>
      <w:r>
        <w:rPr>
          <w:rFonts w:hint="eastAsia" w:ascii="Times New Roman" w:hAnsi="Times New Roman" w:eastAsia="仿宋_GB2312" w:cs="Times New Roman"/>
          <w:sz w:val="32"/>
          <w:szCs w:val="32"/>
          <w:lang w:val="en-US" w:eastAsia="zh-CN"/>
        </w:rPr>
        <w:t>72</w:t>
      </w:r>
      <w:r>
        <w:rPr>
          <w:rFonts w:hint="eastAsia" w:ascii="Times New Roman" w:hAnsi="Times New Roman" w:eastAsia="仿宋_GB2312" w:cs="Times New Roman"/>
          <w:sz w:val="32"/>
          <w:szCs w:val="32"/>
          <w:lang w:eastAsia="zh-CN"/>
        </w:rPr>
        <w:t>万元用于镇村财务人员培训、乡财系统网络维护、财政所办公用房升级改造、办公设备购置及其他业务工作经费和乡镇财政考核经费</w:t>
      </w:r>
      <w:r>
        <w:rPr>
          <w:rFonts w:hint="eastAsia" w:ascii="Times New Roman" w:hAnsi="Times New Roman" w:eastAsia="仿宋_GB2312" w:cs="Times New Roman"/>
          <w:sz w:val="32"/>
          <w:szCs w:val="32"/>
          <w:lang w:val="en-US" w:eastAsia="zh-CN"/>
        </w:rPr>
        <w:t>24</w:t>
      </w:r>
      <w:r>
        <w:rPr>
          <w:rFonts w:hint="eastAsia" w:ascii="Times New Roman" w:hAnsi="Times New Roman" w:eastAsia="仿宋_GB2312" w:cs="Times New Roman"/>
          <w:sz w:val="32"/>
          <w:szCs w:val="32"/>
          <w:lang w:eastAsia="zh-CN"/>
        </w:rPr>
        <w:t>0万元</w:t>
      </w:r>
      <w:r>
        <w:rPr>
          <w:rFonts w:hint="eastAsia" w:ascii="Times New Roman" w:hAnsi="Times New Roman" w:eastAsia="仿宋_GB2312" w:cs="Times New Roman"/>
          <w:color w:val="auto"/>
          <w:sz w:val="32"/>
          <w:szCs w:val="32"/>
          <w:lang w:eastAsia="zh-CN"/>
        </w:rPr>
        <w:t>；财政事务中心</w:t>
      </w:r>
      <w:r>
        <w:rPr>
          <w:rFonts w:hint="eastAsia" w:ascii="Times New Roman" w:hAnsi="Times New Roman" w:eastAsia="仿宋_GB2312" w:cs="Times New Roman"/>
          <w:color w:val="auto"/>
          <w:sz w:val="32"/>
          <w:szCs w:val="32"/>
          <w:lang w:val="en-US" w:eastAsia="zh-CN"/>
        </w:rPr>
        <w:t>222.02万元，用于</w:t>
      </w:r>
      <w:r>
        <w:rPr>
          <w:rFonts w:hint="eastAsia" w:ascii="Times New Roman" w:hAnsi="Times New Roman" w:eastAsia="仿宋_GB2312" w:cs="Times New Roman"/>
          <w:sz w:val="32"/>
          <w:szCs w:val="32"/>
          <w:lang w:eastAsia="zh-CN"/>
        </w:rPr>
        <w:t>非税征管工作经费、票据工本费、非税系统技术服务费</w:t>
      </w:r>
      <w:r>
        <w:rPr>
          <w:rFonts w:hint="eastAsia" w:ascii="Times New Roman" w:hAnsi="Times New Roman" w:eastAsia="仿宋_GB2312" w:cs="Times New Roman"/>
          <w:sz w:val="32"/>
          <w:szCs w:val="32"/>
        </w:rPr>
        <w:t>等方面</w:t>
      </w:r>
      <w:r>
        <w:rPr>
          <w:rFonts w:hint="eastAsia" w:ascii="Times New Roman" w:hAnsi="Times New Roman" w:eastAsia="仿宋_GB2312" w:cs="Times New Roman"/>
          <w:sz w:val="32"/>
          <w:szCs w:val="32"/>
          <w:lang w:eastAsia="zh-CN"/>
        </w:rPr>
        <w:t>业务工作经费</w:t>
      </w:r>
      <w:r>
        <w:rPr>
          <w:rFonts w:hint="eastAsia" w:ascii="Times New Roman" w:hAnsi="Times New Roman" w:eastAsia="仿宋_GB2312" w:cs="Times New Roman"/>
          <w:sz w:val="32"/>
          <w:szCs w:val="32"/>
          <w:lang w:val="en-US" w:eastAsia="zh-CN"/>
        </w:rPr>
        <w:t>18.82</w:t>
      </w:r>
      <w:r>
        <w:rPr>
          <w:rFonts w:hint="eastAsia" w:ascii="Times New Roman" w:hAnsi="Times New Roman" w:eastAsia="仿宋_GB2312" w:cs="Times New Roman"/>
          <w:sz w:val="32"/>
          <w:szCs w:val="32"/>
        </w:rPr>
        <w:t>万元</w:t>
      </w:r>
      <w:r>
        <w:rPr>
          <w:rFonts w:hint="eastAsia" w:ascii="Times New Roman" w:hAnsi="Times New Roman" w:eastAsia="仿宋_GB2312" w:cs="Times New Roman"/>
          <w:sz w:val="32"/>
          <w:szCs w:val="32"/>
          <w:lang w:eastAsia="zh-CN"/>
        </w:rPr>
        <w:t>、</w:t>
      </w:r>
      <w:r>
        <w:rPr>
          <w:rFonts w:hint="eastAsia" w:ascii="Times New Roman" w:hAnsi="Times New Roman" w:eastAsia="仿宋_GB2312" w:cs="Times New Roman"/>
          <w:sz w:val="32"/>
          <w:szCs w:val="32"/>
        </w:rPr>
        <w:t>全区行政事业单位资产管理系统维护</w:t>
      </w:r>
      <w:r>
        <w:rPr>
          <w:rFonts w:hint="eastAsia" w:ascii="Times New Roman" w:hAnsi="Times New Roman" w:eastAsia="仿宋_GB2312" w:cs="Times New Roman"/>
          <w:sz w:val="32"/>
          <w:szCs w:val="32"/>
          <w:lang w:eastAsia="zh-CN"/>
        </w:rPr>
        <w:t>费、</w:t>
      </w:r>
      <w:r>
        <w:rPr>
          <w:rFonts w:hint="eastAsia" w:ascii="Times New Roman" w:hAnsi="Times New Roman" w:eastAsia="仿宋_GB2312" w:cs="Times New Roman"/>
          <w:sz w:val="32"/>
          <w:szCs w:val="32"/>
        </w:rPr>
        <w:t>行政事业单位</w:t>
      </w:r>
      <w:r>
        <w:rPr>
          <w:rFonts w:hint="eastAsia" w:ascii="Times New Roman" w:hAnsi="Times New Roman" w:eastAsia="仿宋_GB2312" w:cs="Times New Roman"/>
          <w:sz w:val="32"/>
          <w:szCs w:val="32"/>
          <w:lang w:eastAsia="zh-CN"/>
        </w:rPr>
        <w:t>资产清查补助和</w:t>
      </w:r>
      <w:r>
        <w:rPr>
          <w:rFonts w:hint="eastAsia" w:ascii="Times New Roman" w:hAnsi="Times New Roman" w:eastAsia="仿宋_GB2312" w:cs="Times New Roman"/>
          <w:sz w:val="32"/>
          <w:szCs w:val="32"/>
        </w:rPr>
        <w:t>三资运作改革</w:t>
      </w:r>
      <w:r>
        <w:rPr>
          <w:rFonts w:hint="eastAsia" w:ascii="Times New Roman" w:hAnsi="Times New Roman" w:eastAsia="仿宋_GB2312" w:cs="Times New Roman"/>
          <w:sz w:val="32"/>
          <w:szCs w:val="32"/>
          <w:lang w:eastAsia="zh-CN"/>
        </w:rPr>
        <w:t>、国企改革绩效评价、审计费等</w:t>
      </w:r>
      <w:r>
        <w:rPr>
          <w:rFonts w:hint="eastAsia" w:ascii="Times New Roman" w:hAnsi="Times New Roman" w:eastAsia="仿宋_GB2312" w:cs="Times New Roman"/>
          <w:sz w:val="32"/>
          <w:szCs w:val="32"/>
          <w:lang w:val="en-US" w:eastAsia="zh-CN"/>
        </w:rPr>
        <w:t>203.2</w:t>
      </w:r>
      <w:r>
        <w:rPr>
          <w:rFonts w:hint="eastAsia" w:ascii="Times New Roman" w:hAnsi="Times New Roman" w:eastAsia="仿宋_GB2312" w:cs="Times New Roman"/>
          <w:sz w:val="32"/>
          <w:szCs w:val="32"/>
        </w:rPr>
        <w:t>万元</w:t>
      </w:r>
      <w:r>
        <w:rPr>
          <w:rFonts w:hint="eastAsia" w:ascii="Times New Roman" w:hAnsi="Times New Roman" w:eastAsia="仿宋_GB2312" w:cs="Times New Roman"/>
          <w:sz w:val="32"/>
          <w:szCs w:val="32"/>
          <w:lang w:eastAsia="zh-CN"/>
        </w:rPr>
        <w:t>。</w:t>
      </w:r>
    </w:p>
    <w:p>
      <w:pPr>
        <w:ind w:firstLine="643" w:firstLineChars="200"/>
        <w:rPr>
          <w:rFonts w:hint="eastAsia" w:ascii="Times New Roman" w:hAnsi="Times New Roman" w:eastAsia="黑体" w:cs="Times New Roman"/>
          <w:b/>
          <w:bCs/>
          <w:kern w:val="0"/>
          <w:sz w:val="32"/>
          <w:szCs w:val="32"/>
        </w:rPr>
      </w:pPr>
      <w:r>
        <w:rPr>
          <w:rFonts w:hint="eastAsia" w:ascii="Times New Roman" w:hAnsi="Times New Roman" w:eastAsia="黑体" w:cs="Times New Roman"/>
          <w:b/>
          <w:bCs/>
          <w:kern w:val="0"/>
          <w:sz w:val="32"/>
          <w:szCs w:val="32"/>
        </w:rPr>
        <w:t>五、政府性基金预算支出</w:t>
      </w:r>
    </w:p>
    <w:p>
      <w:pPr>
        <w:spacing w:line="570" w:lineRule="atLeast"/>
        <w:ind w:firstLine="640" w:firstLineChars="200"/>
        <w:rPr>
          <w:rFonts w:hint="eastAsia" w:ascii="仿宋_GB2312" w:hAnsi="仿宋_GB2312" w:eastAsia="仿宋_GB2312" w:cs="仿宋_GB2312"/>
          <w:color w:val="000000"/>
          <w:sz w:val="32"/>
          <w:szCs w:val="32"/>
          <w:shd w:val="clear" w:color="auto" w:fill="FFFFFF"/>
          <w:lang w:val="en-US" w:eastAsia="zh-CN"/>
        </w:rPr>
      </w:pPr>
      <w:r>
        <w:rPr>
          <w:rFonts w:hint="eastAsia" w:ascii="仿宋_GB2312" w:hAnsi="仿宋_GB2312" w:eastAsia="仿宋_GB2312" w:cs="仿宋_GB2312"/>
          <w:color w:val="000000"/>
          <w:sz w:val="32"/>
          <w:szCs w:val="32"/>
          <w:shd w:val="clear" w:color="auto" w:fill="FFFFFF"/>
          <w:lang w:val="en-US" w:eastAsia="zh-CN"/>
        </w:rPr>
        <w:t>2024年度本部门无政府性基金安排的支出，所以公开的附件15-17表（政府性基金预算）为空。</w:t>
      </w:r>
    </w:p>
    <w:p>
      <w:pPr>
        <w:ind w:firstLine="643" w:firstLineChars="200"/>
        <w:rPr>
          <w:rFonts w:hint="eastAsia" w:ascii="Times New Roman" w:hAnsi="Times New Roman" w:eastAsia="黑体" w:cs="Times New Roman"/>
          <w:b/>
          <w:bCs/>
          <w:kern w:val="0"/>
          <w:sz w:val="32"/>
          <w:szCs w:val="32"/>
        </w:rPr>
      </w:pPr>
      <w:r>
        <w:rPr>
          <w:rFonts w:hint="eastAsia" w:ascii="Times New Roman" w:hAnsi="Times New Roman" w:eastAsia="黑体" w:cs="Times New Roman"/>
          <w:b/>
          <w:bCs/>
          <w:kern w:val="0"/>
          <w:sz w:val="32"/>
          <w:szCs w:val="32"/>
        </w:rPr>
        <w:t>六、其他重要事项的情况说明</w:t>
      </w:r>
    </w:p>
    <w:p>
      <w:pPr>
        <w:spacing w:line="570" w:lineRule="atLeast"/>
        <w:ind w:firstLine="643" w:firstLineChars="200"/>
        <w:rPr>
          <w:rFonts w:hint="eastAsia" w:ascii="仿宋_GB2312" w:hAnsi="仿宋_GB2312" w:eastAsia="仿宋_GB2312" w:cs="仿宋_GB2312"/>
          <w:color w:val="000000"/>
          <w:sz w:val="32"/>
          <w:szCs w:val="32"/>
          <w:shd w:val="clear" w:color="auto" w:fill="FFFFFF"/>
          <w:lang w:val="en-US" w:eastAsia="zh-CN"/>
        </w:rPr>
      </w:pPr>
      <w:r>
        <w:rPr>
          <w:rFonts w:hint="eastAsia" w:ascii="仿宋_GB2312" w:hAnsi="仿宋_GB2312" w:eastAsia="仿宋_GB2312" w:cs="仿宋_GB2312"/>
          <w:b/>
          <w:bCs/>
          <w:color w:val="000000"/>
          <w:sz w:val="32"/>
          <w:szCs w:val="32"/>
          <w:shd w:val="clear" w:color="auto" w:fill="FFFFFF"/>
          <w:lang w:val="en-US" w:eastAsia="zh-CN"/>
        </w:rPr>
        <w:t>（一）机关运行经费：</w:t>
      </w:r>
      <w:r>
        <w:rPr>
          <w:rFonts w:hint="eastAsia" w:ascii="仿宋_GB2312" w:hAnsi="仿宋_GB2312" w:eastAsia="仿宋_GB2312" w:cs="仿宋_GB2312"/>
          <w:color w:val="000000"/>
          <w:sz w:val="32"/>
          <w:szCs w:val="32"/>
          <w:shd w:val="clear" w:color="auto" w:fill="FFFFFF"/>
          <w:lang w:val="en-US" w:eastAsia="zh-CN"/>
        </w:rPr>
        <w:t>2024年财政局机关本级、</w:t>
      </w:r>
      <w:r>
        <w:rPr>
          <w:rFonts w:hint="eastAsia" w:ascii="Times New Roman" w:hAnsi="Times New Roman" w:eastAsia="仿宋_GB2312" w:cs="Times New Roman"/>
          <w:sz w:val="32"/>
          <w:szCs w:val="32"/>
        </w:rPr>
        <w:t>国库集中支付核算中心、乡镇财政服务中心、财政事务中心</w:t>
      </w:r>
      <w:r>
        <w:rPr>
          <w:rFonts w:hint="eastAsia" w:ascii="仿宋_GB2312" w:hAnsi="仿宋_GB2312" w:eastAsia="仿宋_GB2312" w:cs="仿宋_GB2312"/>
          <w:color w:val="000000"/>
          <w:sz w:val="32"/>
          <w:szCs w:val="32"/>
          <w:shd w:val="clear" w:color="auto" w:fill="FFFFFF"/>
          <w:lang w:val="en-US" w:eastAsia="zh-CN"/>
        </w:rPr>
        <w:t>等4家行政事业单位的机关运行经费126.52万元，比上年预算下降</w:t>
      </w:r>
      <w:r>
        <w:rPr>
          <w:rFonts w:hint="eastAsia" w:ascii="仿宋_GB2312" w:hAnsi="仿宋_GB2312" w:eastAsia="仿宋_GB2312" w:cs="仿宋_GB2312"/>
          <w:color w:val="auto"/>
          <w:sz w:val="32"/>
          <w:szCs w:val="32"/>
          <w:shd w:val="clear" w:color="auto" w:fill="FFFFFF"/>
          <w:lang w:val="en-US" w:eastAsia="zh-CN"/>
        </w:rPr>
        <w:t>9.2</w:t>
      </w:r>
      <w:r>
        <w:rPr>
          <w:rFonts w:hint="eastAsia" w:ascii="仿宋_GB2312" w:hAnsi="仿宋_GB2312" w:eastAsia="仿宋_GB2312" w:cs="仿宋_GB2312"/>
          <w:color w:val="000000"/>
          <w:sz w:val="32"/>
          <w:szCs w:val="32"/>
          <w:shd w:val="clear" w:color="auto" w:fill="FFFFFF"/>
          <w:lang w:val="en-US" w:eastAsia="zh-CN"/>
        </w:rPr>
        <w:t>%。主要原因</w:t>
      </w:r>
      <w:r>
        <w:rPr>
          <w:rFonts w:hint="eastAsia" w:ascii="仿宋_GB2312" w:hAnsi="仿宋_GB2312" w:eastAsia="仿宋_GB2312" w:cs="仿宋_GB2312"/>
          <w:color w:val="000000"/>
          <w:sz w:val="32"/>
          <w:szCs w:val="32"/>
          <w:highlight w:val="none"/>
          <w:shd w:val="clear" w:color="auto" w:fill="FFFFFF"/>
          <w:lang w:val="en-US" w:eastAsia="zh-CN"/>
        </w:rPr>
        <w:t>是</w:t>
      </w:r>
      <w:r>
        <w:rPr>
          <w:rFonts w:hint="eastAsia" w:eastAsia="仿宋_GB2312"/>
          <w:sz w:val="32"/>
          <w:szCs w:val="32"/>
          <w:lang w:eastAsia="zh-CN"/>
        </w:rPr>
        <w:t>本部门牢固树立过</w:t>
      </w:r>
      <w:r>
        <w:rPr>
          <w:rFonts w:hint="eastAsia" w:ascii="Times New Roman" w:hAnsi="Times New Roman" w:eastAsia="仿宋_GB2312" w:cs="Times New Roman"/>
          <w:color w:val="auto"/>
          <w:sz w:val="32"/>
          <w:szCs w:val="32"/>
          <w:lang w:eastAsia="zh-CN"/>
        </w:rPr>
        <w:t>紧日子思想，发扬艰苦奋斗精神，压缩机关运转经费支出规模</w:t>
      </w:r>
      <w:r>
        <w:rPr>
          <w:rFonts w:hint="eastAsia" w:ascii="仿宋_GB2312" w:hAnsi="仿宋_GB2312" w:eastAsia="仿宋_GB2312" w:cs="仿宋_GB2312"/>
          <w:color w:val="000000"/>
          <w:sz w:val="32"/>
          <w:szCs w:val="32"/>
          <w:shd w:val="clear" w:color="auto" w:fill="FFFFFF"/>
          <w:lang w:val="en-US" w:eastAsia="zh-CN"/>
        </w:rPr>
        <w:t>造成公用经费预算减少。</w:t>
      </w:r>
    </w:p>
    <w:p>
      <w:pPr>
        <w:spacing w:line="570" w:lineRule="atLeast"/>
        <w:ind w:firstLine="643" w:firstLineChars="200"/>
        <w:rPr>
          <w:rFonts w:hint="eastAsia" w:ascii="仿宋_GB2312" w:hAnsi="仿宋_GB2312" w:eastAsia="仿宋_GB2312" w:cs="仿宋_GB2312"/>
          <w:color w:val="000000"/>
          <w:sz w:val="32"/>
          <w:szCs w:val="32"/>
          <w:shd w:val="clear" w:color="auto" w:fill="FFFFFF"/>
          <w:lang w:val="en-US" w:eastAsia="zh-CN"/>
        </w:rPr>
      </w:pPr>
      <w:r>
        <w:rPr>
          <w:rFonts w:hint="eastAsia" w:ascii="仿宋_GB2312" w:hAnsi="仿宋_GB2312" w:eastAsia="仿宋_GB2312" w:cs="仿宋_GB2312"/>
          <w:b/>
          <w:bCs/>
          <w:color w:val="000000"/>
          <w:sz w:val="32"/>
          <w:szCs w:val="32"/>
          <w:shd w:val="clear" w:color="auto" w:fill="FFFFFF"/>
          <w:lang w:val="en-US" w:eastAsia="zh-CN"/>
        </w:rPr>
        <w:t>（二）“三公”经费预算：</w:t>
      </w:r>
      <w:r>
        <w:rPr>
          <w:rFonts w:hint="eastAsia" w:ascii="仿宋_GB2312" w:hAnsi="仿宋_GB2312" w:eastAsia="仿宋_GB2312" w:cs="仿宋_GB2312"/>
          <w:color w:val="000000"/>
          <w:sz w:val="32"/>
          <w:szCs w:val="32"/>
          <w:shd w:val="clear" w:color="auto" w:fill="FFFFFF"/>
          <w:lang w:val="en-US" w:eastAsia="zh-CN"/>
        </w:rPr>
        <w:t>2024年财政局机关本级、</w:t>
      </w:r>
      <w:r>
        <w:rPr>
          <w:rFonts w:hint="eastAsia" w:ascii="Times New Roman" w:hAnsi="Times New Roman" w:eastAsia="仿宋_GB2312" w:cs="Times New Roman"/>
          <w:sz w:val="32"/>
          <w:szCs w:val="32"/>
        </w:rPr>
        <w:t>国库集中支付核算中心、乡镇财政服务中心、财政事务中心</w:t>
      </w:r>
      <w:r>
        <w:rPr>
          <w:rFonts w:hint="eastAsia" w:ascii="仿宋_GB2312" w:hAnsi="仿宋_GB2312" w:eastAsia="仿宋_GB2312" w:cs="仿宋_GB2312"/>
          <w:color w:val="000000"/>
          <w:sz w:val="32"/>
          <w:szCs w:val="32"/>
          <w:shd w:val="clear" w:color="auto" w:fill="FFFFFF"/>
          <w:lang w:val="en-US" w:eastAsia="zh-CN"/>
        </w:rPr>
        <w:t>等4家行政事业单位“三公”经费预算数为3.5万元，其中，公务接待费3.5万元，公务用车购置及运行费0万元（其中，公务用车购置费0万元，公务用车运行费0万元），因公出国（境）费0万元。2024年“三公”经费预算较2023年减少</w:t>
      </w:r>
      <w:r>
        <w:rPr>
          <w:rFonts w:hint="eastAsia" w:ascii="仿宋_GB2312" w:hAnsi="仿宋_GB2312" w:eastAsia="仿宋_GB2312" w:cs="仿宋_GB2312"/>
          <w:color w:val="auto"/>
          <w:sz w:val="32"/>
          <w:szCs w:val="32"/>
          <w:shd w:val="clear" w:color="auto" w:fill="FFFFFF"/>
          <w:lang w:val="en-US" w:eastAsia="zh-CN"/>
        </w:rPr>
        <w:t>2.14</w:t>
      </w:r>
      <w:r>
        <w:rPr>
          <w:rFonts w:hint="eastAsia" w:ascii="仿宋_GB2312" w:hAnsi="仿宋_GB2312" w:eastAsia="仿宋_GB2312" w:cs="仿宋_GB2312"/>
          <w:color w:val="000000"/>
          <w:sz w:val="32"/>
          <w:szCs w:val="32"/>
          <w:shd w:val="clear" w:color="auto" w:fill="FFFFFF"/>
          <w:lang w:val="en-US" w:eastAsia="zh-CN"/>
        </w:rPr>
        <w:t>万元，主要原因是严格落实中央“八项规定”精神和“过紧日子”的要求，从严控制“三公”经费支出。</w:t>
      </w:r>
      <w:bookmarkStart w:id="0" w:name="START_IS_ZERO_06_2"/>
      <w:bookmarkEnd w:id="0"/>
      <w:bookmarkStart w:id="1" w:name="DIS_MARK_IS_ZERO_06_2"/>
      <w:bookmarkEnd w:id="1"/>
      <w:bookmarkStart w:id="2" w:name="END_IS_ZERO_06_2"/>
      <w:bookmarkEnd w:id="2"/>
      <w:bookmarkStart w:id="3" w:name="END_IS_ZERO_06_1"/>
      <w:bookmarkEnd w:id="3"/>
    </w:p>
    <w:p>
      <w:pPr>
        <w:spacing w:line="570" w:lineRule="atLeast"/>
        <w:ind w:firstLine="643" w:firstLineChars="200"/>
        <w:rPr>
          <w:rFonts w:hint="eastAsia" w:ascii="仿宋_GB2312" w:hAnsi="仿宋_GB2312" w:eastAsia="仿宋_GB2312" w:cs="仿宋_GB2312"/>
          <w:color w:val="000000"/>
          <w:sz w:val="32"/>
          <w:szCs w:val="32"/>
          <w:shd w:val="clear" w:color="auto" w:fill="FFFFFF"/>
          <w:lang w:val="en-US" w:eastAsia="zh-CN"/>
        </w:rPr>
      </w:pPr>
      <w:r>
        <w:rPr>
          <w:rFonts w:hint="eastAsia" w:ascii="仿宋_GB2312" w:hAnsi="仿宋_GB2312" w:eastAsia="仿宋_GB2312" w:cs="仿宋_GB2312"/>
          <w:b/>
          <w:bCs/>
          <w:color w:val="000000"/>
          <w:sz w:val="32"/>
          <w:szCs w:val="32"/>
          <w:shd w:val="clear" w:color="auto" w:fill="FFFFFF"/>
          <w:lang w:val="en-US" w:eastAsia="zh-CN"/>
        </w:rPr>
        <w:t>（三）一般性支出情况：</w:t>
      </w:r>
      <w:r>
        <w:rPr>
          <w:rFonts w:hint="eastAsia" w:ascii="仿宋_GB2312" w:hAnsi="仿宋_GB2312" w:eastAsia="仿宋_GB2312" w:cs="仿宋_GB2312"/>
          <w:color w:val="000000"/>
          <w:sz w:val="32"/>
          <w:szCs w:val="32"/>
          <w:shd w:val="clear" w:color="auto" w:fill="FFFFFF"/>
          <w:lang w:val="en-US" w:eastAsia="zh-CN"/>
        </w:rPr>
        <w:t>2024年本部门会议费预算7.14万元，拟召开</w:t>
      </w:r>
      <w:r>
        <w:rPr>
          <w:rFonts w:hint="eastAsia" w:ascii="Times New Roman" w:hAnsi="Times New Roman" w:eastAsia="仿宋_GB2312" w:cs="Times New Roman"/>
          <w:color w:val="auto"/>
          <w:sz w:val="32"/>
          <w:szCs w:val="32"/>
          <w:lang w:eastAsia="zh-CN"/>
        </w:rPr>
        <w:t>全区财政工作会议，</w:t>
      </w:r>
      <w:r>
        <w:rPr>
          <w:rFonts w:hint="eastAsia" w:ascii="仿宋_GB2312" w:hAnsi="仿宋_GB2312" w:eastAsia="仿宋_GB2312" w:cs="仿宋_GB2312"/>
          <w:color w:val="000000"/>
          <w:sz w:val="32"/>
          <w:szCs w:val="32"/>
          <w:shd w:val="clear" w:color="auto" w:fill="FFFFFF"/>
          <w:lang w:val="en-US" w:eastAsia="zh-CN"/>
        </w:rPr>
        <w:t>半年度及年底乡镇财政工作会议,</w:t>
      </w:r>
      <w:r>
        <w:rPr>
          <w:rFonts w:hint="eastAsia" w:ascii="Times New Roman" w:hAnsi="Times New Roman" w:eastAsia="仿宋_GB2312" w:cs="Times New Roman"/>
          <w:color w:val="auto"/>
          <w:sz w:val="32"/>
          <w:szCs w:val="32"/>
          <w:lang w:eastAsia="zh-CN"/>
        </w:rPr>
        <w:t>预、决算工作会议</w:t>
      </w:r>
      <w:r>
        <w:rPr>
          <w:rFonts w:hint="eastAsia" w:ascii="仿宋_GB2312" w:hAnsi="仿宋_GB2312" w:eastAsia="仿宋_GB2312" w:cs="仿宋_GB2312"/>
          <w:color w:val="000000"/>
          <w:sz w:val="32"/>
          <w:szCs w:val="32"/>
          <w:shd w:val="clear" w:color="auto" w:fill="FFFFFF"/>
          <w:lang w:val="en-US" w:eastAsia="zh-CN"/>
        </w:rPr>
        <w:t>等10次会议，人数530人，内容为会场租赁、会议资料和其他杂费等；培训费预算1万元，拟开展财务检查业务知识培训、村级财务人员培训班、乡镇站所财务人员培训班、财政业务专题培训等6次培训，人数285人，内容为授课费、场地租赁费、培训餐费等；</w:t>
      </w:r>
      <w:r>
        <w:rPr>
          <w:rFonts w:hint="eastAsia" w:ascii="仿宋_GB2312" w:hAnsi="仿宋_GB2312" w:eastAsia="仿宋_GB2312" w:cs="仿宋_GB2312"/>
          <w:color w:val="000000"/>
          <w:kern w:val="2"/>
          <w:sz w:val="32"/>
          <w:szCs w:val="32"/>
          <w:shd w:val="clear" w:color="auto" w:fill="FFFFFF"/>
          <w:lang w:val="en-US" w:eastAsia="zh-CN" w:bidi="ar-SA"/>
        </w:rPr>
        <w:t>2024年度本部门未计划举办节庆、晚会、论坛、赛事活动，经费预算0万元。</w:t>
      </w:r>
    </w:p>
    <w:p>
      <w:pPr>
        <w:spacing w:line="570" w:lineRule="atLeast"/>
        <w:ind w:firstLine="643" w:firstLineChars="200"/>
        <w:rPr>
          <w:rFonts w:hint="eastAsia" w:ascii="仿宋_GB2312" w:hAnsi="仿宋_GB2312" w:eastAsia="仿宋_GB2312" w:cs="仿宋_GB2312"/>
          <w:color w:val="000000"/>
          <w:sz w:val="32"/>
          <w:szCs w:val="32"/>
          <w:shd w:val="clear" w:color="auto" w:fill="FFFFFF"/>
          <w:lang w:val="en-US" w:eastAsia="zh-CN"/>
        </w:rPr>
      </w:pPr>
      <w:r>
        <w:rPr>
          <w:rFonts w:hint="eastAsia" w:ascii="仿宋_GB2312" w:hAnsi="仿宋_GB2312" w:eastAsia="仿宋_GB2312" w:cs="仿宋_GB2312"/>
          <w:b/>
          <w:bCs/>
          <w:color w:val="000000"/>
          <w:sz w:val="32"/>
          <w:szCs w:val="32"/>
          <w:shd w:val="clear" w:color="auto" w:fill="FFFFFF"/>
          <w:lang w:val="en-US" w:eastAsia="zh-CN"/>
        </w:rPr>
        <w:t>（四）政府采购情况：</w:t>
      </w:r>
      <w:r>
        <w:rPr>
          <w:rFonts w:hint="eastAsia" w:ascii="仿宋_GB2312" w:hAnsi="仿宋_GB2312" w:eastAsia="仿宋_GB2312" w:cs="仿宋_GB2312"/>
          <w:color w:val="000000"/>
          <w:sz w:val="32"/>
          <w:szCs w:val="32"/>
          <w:shd w:val="clear" w:color="auto" w:fill="FFFFFF"/>
          <w:lang w:val="en-US" w:eastAsia="zh-CN"/>
        </w:rPr>
        <w:t>2024年本部门政府采购预算总额485.99万元，其中，货物类采购预算117.06万元；工程类采购预算0万元；服务类采购预算368.93万元。</w:t>
      </w:r>
    </w:p>
    <w:p>
      <w:pPr>
        <w:spacing w:line="570" w:lineRule="atLeast"/>
        <w:ind w:firstLine="643" w:firstLineChars="200"/>
        <w:rPr>
          <w:rFonts w:hint="eastAsia" w:ascii="仿宋_GB2312" w:hAnsi="仿宋_GB2312" w:eastAsia="仿宋_GB2312" w:cs="仿宋_GB2312"/>
          <w:color w:val="000000"/>
          <w:sz w:val="32"/>
          <w:szCs w:val="32"/>
          <w:shd w:val="clear" w:color="auto" w:fill="FFFFFF"/>
          <w:lang w:val="en-US" w:eastAsia="zh-CN"/>
        </w:rPr>
      </w:pPr>
      <w:r>
        <w:rPr>
          <w:rFonts w:hint="eastAsia" w:ascii="仿宋_GB2312" w:hAnsi="仿宋_GB2312" w:eastAsia="仿宋_GB2312" w:cs="仿宋_GB2312"/>
          <w:b/>
          <w:bCs/>
          <w:color w:val="000000"/>
          <w:sz w:val="32"/>
          <w:szCs w:val="32"/>
          <w:shd w:val="clear" w:color="auto" w:fill="FFFFFF"/>
          <w:lang w:val="en-US" w:eastAsia="zh-CN"/>
        </w:rPr>
        <w:t>（五）国有资产占用使用及新增资产配置情况：</w:t>
      </w:r>
      <w:r>
        <w:rPr>
          <w:rFonts w:hint="eastAsia" w:ascii="仿宋_GB2312" w:hAnsi="仿宋_GB2312" w:eastAsia="仿宋_GB2312" w:cs="仿宋_GB2312"/>
          <w:color w:val="000000"/>
          <w:sz w:val="32"/>
          <w:szCs w:val="32"/>
          <w:shd w:val="clear" w:color="auto" w:fill="FFFFFF"/>
          <w:lang w:val="en-US" w:eastAsia="zh-CN"/>
        </w:rPr>
        <w:t>截至2023年12月底，本部门共有公务用车0辆，其中，机要通信用车0辆，应急保障用车0辆，执法执勤用车0辆，特种专业技术用车0辆，其他按照规定配备的公务用车0辆；单位价值50万元以上设备0台，其中，单位价值100万元以上设备0台。</w:t>
      </w:r>
    </w:p>
    <w:p>
      <w:pPr>
        <w:spacing w:line="570" w:lineRule="atLeast"/>
        <w:ind w:firstLine="640" w:firstLineChars="200"/>
        <w:rPr>
          <w:rFonts w:hint="eastAsia" w:ascii="仿宋_GB2312" w:hAnsi="仿宋_GB2312" w:eastAsia="仿宋_GB2312" w:cs="仿宋_GB2312"/>
          <w:color w:val="000000"/>
          <w:sz w:val="32"/>
          <w:szCs w:val="32"/>
          <w:shd w:val="clear" w:color="auto" w:fill="FFFFFF"/>
          <w:lang w:val="en-US" w:eastAsia="zh-CN"/>
        </w:rPr>
      </w:pPr>
      <w:r>
        <w:rPr>
          <w:rFonts w:hint="eastAsia" w:ascii="仿宋_GB2312" w:hAnsi="仿宋_GB2312" w:eastAsia="仿宋_GB2312" w:cs="仿宋_GB2312"/>
          <w:color w:val="000000"/>
          <w:sz w:val="32"/>
          <w:szCs w:val="32"/>
          <w:shd w:val="clear" w:color="auto" w:fill="FFFFFF"/>
          <w:lang w:val="en-US" w:eastAsia="zh-CN"/>
        </w:rPr>
        <w:t>2024年拟新增配置公务用车0辆，</w:t>
      </w:r>
      <w:r>
        <w:rPr>
          <w:rFonts w:hint="eastAsia" w:ascii="仿宋_GB2312" w:hAnsi="仿宋_GB2312" w:eastAsia="仿宋_GB2312" w:cs="仿宋_GB2312"/>
          <w:color w:val="000000"/>
          <w:sz w:val="32"/>
          <w:szCs w:val="32"/>
          <w:highlight w:val="none"/>
          <w:shd w:val="clear" w:color="auto" w:fill="FFFFFF"/>
          <w:lang w:val="en-US" w:eastAsia="zh-CN"/>
        </w:rPr>
        <w:t>其中，机要通信用车0辆，应急保障用车0辆，执法执勤用车0辆，特种专业技术用车0辆，其他按照规定配备的公务用车0辆</w:t>
      </w:r>
      <w:r>
        <w:rPr>
          <w:rFonts w:hint="eastAsia" w:ascii="仿宋_GB2312" w:hAnsi="仿宋_GB2312" w:eastAsia="仿宋_GB2312" w:cs="仿宋_GB2312"/>
          <w:color w:val="000000"/>
          <w:sz w:val="32"/>
          <w:szCs w:val="32"/>
          <w:shd w:val="clear" w:color="auto" w:fill="FFFFFF"/>
          <w:lang w:val="en-US" w:eastAsia="zh-CN"/>
        </w:rPr>
        <w:t>；新增配备单位价值50万元以上设备0台，其中，单位价值100万元以上设备0台。</w:t>
      </w:r>
    </w:p>
    <w:p>
      <w:pPr>
        <w:spacing w:line="570" w:lineRule="atLeast"/>
        <w:ind w:firstLine="643" w:firstLineChars="200"/>
        <w:rPr>
          <w:rFonts w:hint="eastAsia" w:ascii="仿宋_GB2312" w:hAnsi="仿宋_GB2312" w:eastAsia="仿宋_GB2312" w:cs="仿宋_GB2312"/>
          <w:color w:val="000000"/>
          <w:sz w:val="32"/>
          <w:szCs w:val="32"/>
          <w:shd w:val="clear" w:color="auto" w:fill="FFFFFF"/>
          <w:lang w:val="en-US" w:eastAsia="zh-CN"/>
        </w:rPr>
      </w:pPr>
      <w:r>
        <w:rPr>
          <w:rFonts w:hint="eastAsia" w:ascii="仿宋_GB2312" w:hAnsi="仿宋_GB2312" w:eastAsia="仿宋_GB2312" w:cs="仿宋_GB2312"/>
          <w:b/>
          <w:bCs/>
          <w:color w:val="000000"/>
          <w:sz w:val="32"/>
          <w:szCs w:val="32"/>
          <w:shd w:val="clear" w:color="auto" w:fill="FFFFFF"/>
          <w:lang w:val="en-US" w:eastAsia="zh-CN"/>
        </w:rPr>
        <w:t>（六）预算绩效目标说明：</w:t>
      </w:r>
      <w:r>
        <w:rPr>
          <w:rFonts w:hint="eastAsia" w:ascii="仿宋_GB2312" w:hAnsi="仿宋_GB2312" w:eastAsia="仿宋_GB2312" w:cs="仿宋_GB2312"/>
          <w:color w:val="000000"/>
          <w:sz w:val="32"/>
          <w:szCs w:val="32"/>
          <w:shd w:val="clear" w:color="auto" w:fill="FFFFFF"/>
          <w:lang w:val="en-US" w:eastAsia="zh-CN"/>
        </w:rPr>
        <w:t>本部门所有支出实行绩效目标管理。纳入2024年部门整体支出绩效目标的金额为2158.5万元，其中，基本支出1091.21万元，项目支出1067.29万元，具体绩效目标详见文尾附表中部门预算公开表21-2</w:t>
      </w:r>
      <w:r>
        <w:rPr>
          <w:rFonts w:hint="eastAsia" w:ascii="仿宋_GB2312" w:hAnsi="仿宋_GB2312" w:eastAsia="仿宋_GB2312" w:cs="仿宋_GB2312"/>
          <w:color w:val="000000"/>
          <w:sz w:val="32"/>
          <w:szCs w:val="32"/>
          <w:highlight w:val="none"/>
          <w:shd w:val="clear" w:color="auto" w:fill="FFFFFF"/>
          <w:lang w:val="en-US" w:eastAsia="zh-CN"/>
        </w:rPr>
        <w:t>2表</w:t>
      </w:r>
      <w:r>
        <w:rPr>
          <w:rFonts w:hint="eastAsia" w:ascii="仿宋_GB2312" w:hAnsi="仿宋_GB2312" w:eastAsia="仿宋_GB2312" w:cs="仿宋_GB2312"/>
          <w:color w:val="000000"/>
          <w:sz w:val="32"/>
          <w:szCs w:val="32"/>
          <w:shd w:val="clear" w:color="auto" w:fill="FFFFFF"/>
          <w:lang w:val="en-US" w:eastAsia="zh-CN"/>
        </w:rPr>
        <w:t>。</w:t>
      </w:r>
    </w:p>
    <w:p>
      <w:pPr>
        <w:ind w:firstLine="643" w:firstLineChars="200"/>
        <w:rPr>
          <w:rFonts w:hint="eastAsia" w:ascii="Times New Roman" w:hAnsi="Times New Roman" w:eastAsia="黑体" w:cs="Times New Roman"/>
          <w:b/>
          <w:bCs/>
          <w:kern w:val="0"/>
          <w:sz w:val="32"/>
          <w:szCs w:val="32"/>
        </w:rPr>
      </w:pPr>
      <w:r>
        <w:rPr>
          <w:rFonts w:hint="eastAsia" w:ascii="Times New Roman" w:hAnsi="Times New Roman" w:eastAsia="黑体" w:cs="Times New Roman"/>
          <w:b/>
          <w:bCs/>
          <w:kern w:val="0"/>
          <w:sz w:val="32"/>
          <w:szCs w:val="32"/>
        </w:rPr>
        <w:t>七、名词解释</w:t>
      </w:r>
    </w:p>
    <w:p>
      <w:pPr>
        <w:spacing w:line="570" w:lineRule="atLeast"/>
        <w:ind w:firstLine="643" w:firstLineChars="200"/>
        <w:rPr>
          <w:rFonts w:hint="eastAsia" w:ascii="仿宋_GB2312" w:hAnsi="仿宋_GB2312" w:eastAsia="仿宋_GB2312" w:cs="仿宋_GB2312"/>
          <w:color w:val="000000"/>
          <w:sz w:val="32"/>
          <w:szCs w:val="32"/>
          <w:shd w:val="clear" w:color="auto" w:fill="FFFFFF"/>
          <w:lang w:val="en-US" w:eastAsia="zh-CN"/>
        </w:rPr>
      </w:pPr>
      <w:r>
        <w:rPr>
          <w:rFonts w:hint="eastAsia" w:ascii="仿宋_GB2312" w:hAnsi="仿宋_GB2312" w:eastAsia="仿宋_GB2312" w:cs="仿宋_GB2312"/>
          <w:b/>
          <w:bCs/>
          <w:color w:val="000000"/>
          <w:sz w:val="32"/>
          <w:szCs w:val="32"/>
          <w:shd w:val="clear" w:color="auto" w:fill="FFFFFF"/>
          <w:lang w:val="en-US" w:eastAsia="zh-CN"/>
        </w:rPr>
        <w:t>1．机关运行经费：</w:t>
      </w:r>
      <w:r>
        <w:rPr>
          <w:rFonts w:hint="eastAsia" w:ascii="仿宋_GB2312" w:hAnsi="仿宋_GB2312" w:eastAsia="仿宋_GB2312" w:cs="仿宋_GB2312"/>
          <w:color w:val="000000"/>
          <w:sz w:val="32"/>
          <w:szCs w:val="32"/>
          <w:shd w:val="clear" w:color="auto" w:fill="FFFFFF"/>
          <w:lang w:val="en-US" w:eastAsia="zh-CN"/>
        </w:rPr>
        <w:t>是指各部门的公用经费，包括办公及印刷费、邮电费、差旅费、会议费、福利费、日常维修费、专用资料及一般设备购置费、办公用房水电费、办公用房取暖费、办公用房物业管理费、公务用车运行维护费以及其他费用。</w:t>
      </w:r>
    </w:p>
    <w:p>
      <w:pPr>
        <w:spacing w:line="570" w:lineRule="atLeast"/>
        <w:ind w:firstLine="643" w:firstLineChars="200"/>
        <w:rPr>
          <w:rFonts w:hint="eastAsia" w:asciiTheme="minorEastAsia" w:hAnsiTheme="minorEastAsia" w:eastAsiaTheme="minorEastAsia" w:cstheme="minorEastAsia"/>
          <w:sz w:val="28"/>
          <w:szCs w:val="28"/>
        </w:rPr>
      </w:pPr>
      <w:r>
        <w:rPr>
          <w:rFonts w:hint="eastAsia" w:ascii="仿宋_GB2312" w:hAnsi="仿宋_GB2312" w:eastAsia="仿宋_GB2312" w:cs="仿宋_GB2312"/>
          <w:b/>
          <w:bCs/>
          <w:color w:val="000000"/>
          <w:sz w:val="32"/>
          <w:szCs w:val="32"/>
          <w:shd w:val="clear" w:color="auto" w:fill="FFFFFF"/>
          <w:lang w:val="en-US" w:eastAsia="zh-CN"/>
        </w:rPr>
        <w:t>2．“三公”经费：</w:t>
      </w:r>
      <w:r>
        <w:rPr>
          <w:rFonts w:hint="eastAsia" w:ascii="仿宋_GB2312" w:hAnsi="仿宋_GB2312" w:eastAsia="仿宋_GB2312" w:cs="仿宋_GB2312"/>
          <w:color w:val="000000"/>
          <w:sz w:val="32"/>
          <w:szCs w:val="32"/>
          <w:shd w:val="clear" w:color="auto" w:fill="FFFFFF"/>
          <w:lang w:val="en-US" w:eastAsia="zh-CN"/>
        </w:rPr>
        <w:t>纳入省（市/县）财政预算管理的“三公“经费，是指用一般公共预算拨款安排的公务接待费、公务用车购置及运行维护费和因公出国（境）费。其中，公务接待费反映单位按规定开支的各类公务接待支出；公务用车购置及运行费反映单位公务用车车辆购置支出（含车辆购置税），以及燃料费、维修费、保险费等支出；因公出国（境）费反映单位公务出国（境）的国际旅费、国外城市间交通费、住宿费、伙食费、培训费、公杂费等支出。</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2" w:lineRule="atLeast"/>
        <w:ind w:left="0" w:right="0"/>
        <w:jc w:val="center"/>
        <w:textAlignment w:val="center"/>
        <w:rPr>
          <w:rFonts w:hint="eastAsia" w:ascii="方正小标宋简体" w:hAnsi="Times New Roman" w:eastAsia="方正小标宋简体" w:cs="Times New Roman"/>
          <w:b/>
          <w:bCs/>
          <w:kern w:val="0"/>
          <w:sz w:val="36"/>
          <w:szCs w:val="36"/>
          <w:lang w:val="en-US" w:eastAsia="zh-CN" w:bidi="ar-SA"/>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2" w:lineRule="atLeast"/>
        <w:ind w:left="0" w:right="0"/>
        <w:jc w:val="center"/>
        <w:textAlignment w:val="center"/>
        <w:rPr>
          <w:rFonts w:hint="eastAsia" w:ascii="方正小标宋简体" w:hAnsi="Times New Roman" w:eastAsia="方正小标宋简体" w:cs="Times New Roman"/>
          <w:b/>
          <w:bCs/>
          <w:kern w:val="0"/>
          <w:sz w:val="36"/>
          <w:szCs w:val="36"/>
          <w:lang w:val="en-US" w:eastAsia="zh-CN" w:bidi="ar-SA"/>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2" w:lineRule="atLeast"/>
        <w:ind w:left="0" w:right="0"/>
        <w:jc w:val="center"/>
        <w:textAlignment w:val="center"/>
        <w:rPr>
          <w:rFonts w:hint="eastAsia" w:ascii="方正小标宋简体" w:hAnsi="Times New Roman" w:eastAsia="方正小标宋简体" w:cs="Times New Roman"/>
          <w:b/>
          <w:bCs/>
          <w:kern w:val="0"/>
          <w:sz w:val="36"/>
          <w:szCs w:val="36"/>
          <w:lang w:val="en-US" w:eastAsia="zh-CN" w:bidi="ar-SA"/>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2" w:lineRule="atLeast"/>
        <w:ind w:left="0" w:right="0"/>
        <w:jc w:val="center"/>
        <w:textAlignment w:val="center"/>
        <w:rPr>
          <w:rFonts w:hint="eastAsia" w:ascii="方正小标宋简体" w:hAnsi="Times New Roman" w:eastAsia="方正小标宋简体" w:cs="Times New Roman"/>
          <w:b/>
          <w:bCs/>
          <w:kern w:val="0"/>
          <w:sz w:val="36"/>
          <w:szCs w:val="36"/>
          <w:lang w:val="en-US" w:eastAsia="zh-CN" w:bidi="ar-SA"/>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2" w:lineRule="atLeast"/>
        <w:ind w:left="0" w:right="0"/>
        <w:jc w:val="center"/>
        <w:textAlignment w:val="center"/>
        <w:rPr>
          <w:rFonts w:hint="eastAsia" w:ascii="方正小标宋简体" w:hAnsi="Times New Roman" w:eastAsia="方正小标宋简体" w:cs="Times New Roman"/>
          <w:b/>
          <w:bCs/>
          <w:kern w:val="0"/>
          <w:sz w:val="36"/>
          <w:szCs w:val="36"/>
          <w:lang w:val="en-US" w:eastAsia="zh-CN" w:bidi="ar-SA"/>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2" w:lineRule="atLeast"/>
        <w:ind w:left="0" w:right="0"/>
        <w:jc w:val="center"/>
        <w:textAlignment w:val="center"/>
        <w:rPr>
          <w:rFonts w:hint="eastAsia" w:ascii="方正小标宋简体" w:hAnsi="Times New Roman" w:eastAsia="方正小标宋简体" w:cs="Times New Roman"/>
          <w:b/>
          <w:bCs/>
          <w:kern w:val="0"/>
          <w:sz w:val="36"/>
          <w:szCs w:val="36"/>
          <w:lang w:val="en-US" w:eastAsia="zh-CN" w:bidi="ar-SA"/>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2" w:lineRule="atLeast"/>
        <w:ind w:left="0" w:right="0"/>
        <w:jc w:val="center"/>
        <w:textAlignment w:val="center"/>
        <w:rPr>
          <w:rFonts w:hint="eastAsia" w:ascii="方正小标宋简体" w:hAnsi="Times New Roman" w:eastAsia="方正小标宋简体" w:cs="Times New Roman"/>
          <w:b/>
          <w:bCs/>
          <w:kern w:val="0"/>
          <w:sz w:val="36"/>
          <w:szCs w:val="36"/>
          <w:lang w:val="en-US" w:eastAsia="zh-CN" w:bidi="ar-SA"/>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2" w:lineRule="atLeast"/>
        <w:ind w:left="0" w:right="0"/>
        <w:jc w:val="center"/>
        <w:textAlignment w:val="center"/>
        <w:rPr>
          <w:rFonts w:hint="eastAsia" w:ascii="方正小标宋简体" w:hAnsi="Times New Roman" w:eastAsia="方正小标宋简体" w:cs="Times New Roman"/>
          <w:b/>
          <w:bCs/>
          <w:kern w:val="0"/>
          <w:sz w:val="36"/>
          <w:szCs w:val="36"/>
          <w:lang w:val="en-US" w:eastAsia="zh-CN" w:bidi="ar-SA"/>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2" w:lineRule="atLeast"/>
        <w:ind w:left="0" w:right="0"/>
        <w:jc w:val="center"/>
        <w:textAlignment w:val="center"/>
        <w:rPr>
          <w:rFonts w:hint="eastAsia" w:asciiTheme="minorEastAsia" w:hAnsiTheme="minorEastAsia" w:eastAsiaTheme="minorEastAsia" w:cstheme="minorEastAsia"/>
          <w:sz w:val="28"/>
          <w:szCs w:val="28"/>
        </w:rPr>
      </w:pPr>
      <w:bookmarkStart w:id="4" w:name="_GoBack"/>
      <w:bookmarkEnd w:id="4"/>
      <w:r>
        <w:rPr>
          <w:rFonts w:hint="eastAsia" w:ascii="方正小标宋简体" w:hAnsi="Times New Roman" w:eastAsia="方正小标宋简体" w:cs="Times New Roman"/>
          <w:b/>
          <w:bCs/>
          <w:kern w:val="0"/>
          <w:sz w:val="36"/>
          <w:szCs w:val="36"/>
          <w:lang w:val="en-US" w:eastAsia="zh-CN" w:bidi="ar-SA"/>
        </w:rPr>
        <w:t>第二部分  2024年部门预算公开表格</w:t>
      </w: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1、收支总表</w:t>
      </w: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2、收入总表</w:t>
      </w: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3、支出总表</w:t>
      </w: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4、支出预算分类汇总表（按政府预算经济分类）</w:t>
      </w: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5、支出预算分类汇总表（按部门预算经济分类）</w:t>
      </w: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6、财政拨款收支总表</w:t>
      </w: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7、一般公共预算支出表</w:t>
      </w: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8、一般公共预算基本支出表-人员经费（工资福利支出）（按政府预算经济分类）</w:t>
      </w: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9、一般公共预算基本支出表-人员经费（工资福利支出）（按部门预算经济分类）</w:t>
      </w: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10、一般公共预算基本支出表-人员经费（对个人和家庭的补助）（按政府预算经济分类）</w:t>
      </w: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11、一般公共预算基本支出表-人员经费（对个人和家庭的补助）（按部门预算经济分类）</w:t>
      </w: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12、一般公共预算基本支出表-公用经费（商品和服务支出）（按政府预算经济分类）</w:t>
      </w: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13、一般公共预算基本支出表-公用经费（商品和服务支出）（按部门预算经济分类）</w:t>
      </w: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14、一般公共预算“三公”经费支出表</w:t>
      </w: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15、政府性基金预算支出表</w:t>
      </w: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16、政府性基金预算支出分类汇总表（按政府预算经济分类）</w:t>
      </w: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17、政府性基金预算支出分类汇总表（按部门预算经济分类）</w:t>
      </w: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18、国有资本经营预算支出表</w:t>
      </w: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19、财政专户管理资金预算支出表</w:t>
      </w: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20、专项资金预算汇总表</w:t>
      </w: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21、项目支出绩效目标表</w:t>
      </w: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22、部门整体支出绩效目标表</w:t>
      </w: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23、一般公共预算基本支出表</w:t>
      </w: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注：以上部门预算公开报表中，空表表示本部门无相关收支情况。</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2" w:lineRule="atLeast"/>
        <w:ind w:left="0" w:right="0" w:firstLine="640" w:firstLineChars="200"/>
        <w:jc w:val="both"/>
        <w:textAlignment w:val="center"/>
        <w:rPr>
          <w:rFonts w:hint="eastAsia" w:ascii="仿宋_GB2312" w:hAnsi="仿宋_GB2312" w:eastAsia="仿宋_GB2312" w:cs="仿宋_GB2312"/>
          <w:color w:val="000000"/>
          <w:kern w:val="2"/>
          <w:sz w:val="32"/>
          <w:szCs w:val="32"/>
          <w:shd w:val="clear" w:color="auto" w:fill="FFFFFF"/>
          <w:lang w:val="en-US" w:eastAsia="zh-CN" w:bidi="ar-SA"/>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2" w:lineRule="atLeast"/>
        <w:ind w:left="0" w:right="0" w:firstLine="640" w:firstLineChars="200"/>
        <w:jc w:val="both"/>
        <w:textAlignment w:val="center"/>
        <w:rPr>
          <w:rFonts w:hint="eastAsia" w:ascii="仿宋_GB2312" w:hAnsi="仿宋_GB2312" w:eastAsia="仿宋_GB2312" w:cs="仿宋_GB2312"/>
          <w:color w:val="000000"/>
          <w:kern w:val="2"/>
          <w:sz w:val="32"/>
          <w:szCs w:val="32"/>
          <w:shd w:val="clear" w:color="auto" w:fill="FFFFFF"/>
          <w:lang w:val="en-US" w:eastAsia="zh-CN" w:bidi="ar-SA"/>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2" w:lineRule="atLeast"/>
        <w:ind w:left="0" w:right="0" w:firstLine="643" w:firstLineChars="200"/>
        <w:jc w:val="both"/>
        <w:textAlignment w:val="center"/>
        <w:rPr>
          <w:rFonts w:hint="eastAsia" w:ascii="仿宋_GB2312" w:hAnsi="仿宋_GB2312" w:eastAsia="仿宋_GB2312" w:cs="仿宋_GB2312"/>
          <w:color w:val="000000"/>
          <w:kern w:val="2"/>
          <w:sz w:val="32"/>
          <w:szCs w:val="32"/>
          <w:shd w:val="clear" w:color="auto" w:fill="FFFFFF"/>
          <w:lang w:val="en-US" w:eastAsia="zh-CN" w:bidi="ar-SA"/>
        </w:rPr>
      </w:pPr>
      <w:r>
        <w:rPr>
          <w:rFonts w:hint="eastAsia" w:ascii="仿宋_GB2312" w:hAnsi="仿宋_GB2312" w:eastAsia="仿宋_GB2312" w:cs="仿宋_GB2312"/>
          <w:b/>
          <w:bCs/>
          <w:color w:val="000000"/>
          <w:kern w:val="2"/>
          <w:sz w:val="32"/>
          <w:szCs w:val="32"/>
          <w:shd w:val="clear" w:color="auto" w:fill="FFFFFF"/>
          <w:lang w:val="en-US" w:eastAsia="zh-CN" w:bidi="ar-SA"/>
        </w:rPr>
        <w:t>附件：岳阳市君山区财政局2024年部门预算公开表</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2" w:lineRule="atLeast"/>
        <w:ind w:left="0" w:right="0"/>
        <w:jc w:val="both"/>
        <w:textAlignment w:val="center"/>
        <w:rPr>
          <w:rFonts w:hint="eastAsia" w:asciiTheme="minorEastAsia" w:hAnsiTheme="minorEastAsia" w:eastAsiaTheme="minorEastAsia" w:cstheme="minorEastAsia"/>
          <w:b/>
          <w:bCs/>
          <w:i w:val="0"/>
          <w:iCs w:val="0"/>
          <w:caps w:val="0"/>
          <w:color w:val="333333"/>
          <w:spacing w:val="0"/>
          <w:sz w:val="28"/>
          <w:szCs w:val="28"/>
          <w:shd w:val="clear" w:fill="FFFFFF"/>
        </w:rPr>
      </w:pP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小标宋简体">
    <w:altName w:val="仿宋_GB2312"/>
    <w:panose1 w:val="02010601030101010101"/>
    <w:charset w:val="86"/>
    <w:family w:val="script"/>
    <w:pitch w:val="default"/>
    <w:sig w:usb0="00000000" w:usb1="0000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 w:name="方正小标宋_GBK">
    <w:altName w:val="微软雅黑"/>
    <w:panose1 w:val="03000509000000000000"/>
    <w:charset w:val="86"/>
    <w:family w:val="script"/>
    <w:pitch w:val="default"/>
    <w:sig w:usb0="00000000" w:usb1="00000000" w:usb2="00000000" w:usb3="00000000" w:csb0="00040000" w:csb1="00000000"/>
  </w:font>
  <w:font w:name="微软雅黑">
    <w:panose1 w:val="020B0503020204020204"/>
    <w:charset w:val="86"/>
    <w:family w:val="auto"/>
    <w:pitch w:val="default"/>
    <w:sig w:usb0="80000287" w:usb1="280F3C52" w:usb2="00000016" w:usb3="00000000" w:csb0="0004001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250E854"/>
    <w:multiLevelType w:val="singleLevel"/>
    <w:tmpl w:val="A250E854"/>
    <w:lvl w:ilvl="0" w:tentative="0">
      <w:start w:val="1"/>
      <w:numFmt w:val="chineseCounting"/>
      <w:suff w:val="nothing"/>
      <w:lvlText w:val="（%1）"/>
      <w:lvlJc w:val="left"/>
      <w:rPr>
        <w:rFonts w:hint="eastAsia"/>
      </w:rPr>
    </w:lvl>
  </w:abstractNum>
  <w:abstractNum w:abstractNumId="1">
    <w:nsid w:val="57CC3CBB"/>
    <w:multiLevelType w:val="singleLevel"/>
    <w:tmpl w:val="57CC3CBB"/>
    <w:lvl w:ilvl="0" w:tentative="0">
      <w:start w:val="1"/>
      <w:numFmt w:val="chineseCounting"/>
      <w:suff w:val="nothing"/>
      <w:lvlText w:val="（%1）"/>
      <w:lvlJc w:val="left"/>
      <w:rPr>
        <w:rFonts w:hint="eastAsia"/>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jk0MzkxYTllNGUzYWMwZmMyNjFiNTViYzNiYzdlYTAifQ=="/>
  </w:docVars>
  <w:rsids>
    <w:rsidRoot w:val="637274E6"/>
    <w:rsid w:val="010D1261"/>
    <w:rsid w:val="03E631CC"/>
    <w:rsid w:val="05974297"/>
    <w:rsid w:val="066547B5"/>
    <w:rsid w:val="0794481D"/>
    <w:rsid w:val="07E6194C"/>
    <w:rsid w:val="09CC043F"/>
    <w:rsid w:val="0A8E28B4"/>
    <w:rsid w:val="0BC81D71"/>
    <w:rsid w:val="0BD240F7"/>
    <w:rsid w:val="0C923A83"/>
    <w:rsid w:val="0E5B42C5"/>
    <w:rsid w:val="10EE2E8E"/>
    <w:rsid w:val="112B4160"/>
    <w:rsid w:val="11A2545A"/>
    <w:rsid w:val="138A05B2"/>
    <w:rsid w:val="167C1082"/>
    <w:rsid w:val="16FB76F0"/>
    <w:rsid w:val="178501FF"/>
    <w:rsid w:val="1C262CB5"/>
    <w:rsid w:val="1C415E72"/>
    <w:rsid w:val="1C6F6CFF"/>
    <w:rsid w:val="1C744CBF"/>
    <w:rsid w:val="1ECC4DAF"/>
    <w:rsid w:val="1F8F2DF1"/>
    <w:rsid w:val="20CE0ED9"/>
    <w:rsid w:val="232333DF"/>
    <w:rsid w:val="2C8B2374"/>
    <w:rsid w:val="2CD84711"/>
    <w:rsid w:val="2D3A78E3"/>
    <w:rsid w:val="2DBD3A18"/>
    <w:rsid w:val="30642513"/>
    <w:rsid w:val="328F1D91"/>
    <w:rsid w:val="33DB5B05"/>
    <w:rsid w:val="37711607"/>
    <w:rsid w:val="39A551D5"/>
    <w:rsid w:val="430D6B5C"/>
    <w:rsid w:val="436D70FC"/>
    <w:rsid w:val="45F540EF"/>
    <w:rsid w:val="47354DD7"/>
    <w:rsid w:val="490967ED"/>
    <w:rsid w:val="4A4A21E7"/>
    <w:rsid w:val="4AF62C56"/>
    <w:rsid w:val="4DBA372C"/>
    <w:rsid w:val="4E511DD4"/>
    <w:rsid w:val="4E9E3987"/>
    <w:rsid w:val="4EE728E7"/>
    <w:rsid w:val="51B62990"/>
    <w:rsid w:val="52CC2C1B"/>
    <w:rsid w:val="5B525B22"/>
    <w:rsid w:val="5BCD52BC"/>
    <w:rsid w:val="620F14CC"/>
    <w:rsid w:val="62CB7F2F"/>
    <w:rsid w:val="637274E6"/>
    <w:rsid w:val="676453B0"/>
    <w:rsid w:val="68675E30"/>
    <w:rsid w:val="6BD10355"/>
    <w:rsid w:val="6D6656CC"/>
    <w:rsid w:val="6DE7565E"/>
    <w:rsid w:val="73626AED"/>
    <w:rsid w:val="783E7FAA"/>
    <w:rsid w:val="78CC0C1A"/>
    <w:rsid w:val="796539AB"/>
    <w:rsid w:val="7C7F7F1A"/>
    <w:rsid w:val="7FD8127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5">
    <w:name w:val="Default Paragraph Font"/>
    <w:semiHidden/>
    <w:qFormat/>
    <w:uiPriority w:val="0"/>
  </w:style>
  <w:style w:type="table" w:default="1" w:styleId="4">
    <w:name w:val="Normal Table"/>
    <w:semiHidden/>
    <w:qFormat/>
    <w:uiPriority w:val="0"/>
    <w:tblPr>
      <w:tblCellMar>
        <w:top w:w="0" w:type="dxa"/>
        <w:left w:w="108" w:type="dxa"/>
        <w:bottom w:w="0" w:type="dxa"/>
        <w:right w:w="108" w:type="dxa"/>
      </w:tblCellMar>
    </w:tblPr>
  </w:style>
  <w:style w:type="paragraph" w:styleId="2">
    <w:name w:val="Normal Indent"/>
    <w:basedOn w:val="1"/>
    <w:qFormat/>
    <w:uiPriority w:val="0"/>
    <w:pPr>
      <w:ind w:firstLine="420"/>
    </w:pPr>
    <w:rPr>
      <w:szCs w:val="20"/>
    </w:rPr>
  </w:style>
  <w:style w:type="paragraph" w:styleId="3">
    <w:name w:val="Normal (Web)"/>
    <w:basedOn w:val="1"/>
    <w:qFormat/>
    <w:uiPriority w:val="0"/>
    <w:pPr>
      <w:spacing w:before="0" w:beforeAutospacing="1" w:after="0" w:afterAutospacing="1"/>
      <w:ind w:left="0" w:right="0"/>
      <w:jc w:val="left"/>
    </w:pPr>
    <w:rPr>
      <w:kern w:val="0"/>
      <w:sz w:val="24"/>
      <w:lang w:val="en-US" w:eastAsia="zh-CN" w:bidi="ar"/>
    </w:rPr>
  </w:style>
  <w:style w:type="character" w:styleId="6">
    <w:name w:val="Hyperlink"/>
    <w:basedOn w:val="5"/>
    <w:qFormat/>
    <w:uiPriority w:val="0"/>
    <w:rPr>
      <w:color w:val="0000FF"/>
      <w:u w:val="single"/>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chart" Target="charts/chart2.xml"/><Relationship Id="rId4" Type="http://schemas.openxmlformats.org/officeDocument/2006/relationships/chart" Target="charts/chart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charts/_rels/chart1.xml.rels><?xml version="1.0" encoding="UTF-8" standalone="yes"?>
<Relationships xmlns="http://schemas.openxmlformats.org/package/2006/relationships"><Relationship Id="rId1" Type="http://schemas.openxmlformats.org/officeDocument/2006/relationships/oleObject" Target="file:///C:\Users\Administrator\Desktop\Book1.xlsx" TargetMode="External"/></Relationships>
</file>

<file path=word/charts/_rels/chart2.xml.rels><?xml version="1.0" encoding="UTF-8" standalone="yes"?>
<Relationships xmlns="http://schemas.openxmlformats.org/package/2006/relationships"><Relationship Id="rId3" Type="http://schemas.microsoft.com/office/2011/relationships/chartColorStyle" Target="colors1.xml"/><Relationship Id="rId2" Type="http://schemas.microsoft.com/office/2011/relationships/chartStyle" Target="style1.xml"/><Relationship Id="rId1" Type="http://schemas.openxmlformats.org/officeDocument/2006/relationships/oleObject" Target="file:///C:\Users\Administrator\Desktop\&#25910;&#20837;&#39044;&#31639;&#22270;.xlsx" TargetMode="External"/></Relationships>
</file>

<file path=word/charts/chart1.xml><?xml version="1.0" encoding="utf-8"?>
<c:chartSpace xmlns:c="http://schemas.openxmlformats.org/drawingml/2006/chart" xmlns:a="http://schemas.openxmlformats.org/drawingml/2006/main" xmlns:r="http://schemas.openxmlformats.org/officeDocument/2006/relationships">
  <c:date1904 val="0"/>
  <c:lang val="zh-CN"/>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0" vertOverflow="ellipsis" vert="horz" wrap="square" anchor="ctr" anchorCtr="1"/>
          <a:lstStyle/>
          <a:p>
            <a:pPr defTabSz="914400">
              <a:defRPr lang="zh-CN" sz="1800" b="1" i="0" u="none" strike="noStrike" kern="1200" baseline="0">
                <a:solidFill>
                  <a:schemeClr val="tx1"/>
                </a:solidFill>
                <a:latin typeface="+mn-lt"/>
                <a:ea typeface="+mn-ea"/>
                <a:cs typeface="+mn-cs"/>
              </a:defRPr>
            </a:pPr>
            <a:r>
              <a:t>收入预算图</a:t>
            </a:r>
          </a:p>
        </c:rich>
      </c:tx>
      <c:layout/>
      <c:overlay val="0"/>
    </c:title>
    <c:autoTitleDeleted val="0"/>
    <c:plotArea>
      <c:layout/>
      <c:pieChart>
        <c:varyColors val="1"/>
        <c:ser>
          <c:idx val="0"/>
          <c:order val="0"/>
          <c:explosion val="0"/>
          <c:dPt>
            <c:idx val="0"/>
            <c:bubble3D val="0"/>
          </c:dPt>
          <c:dLbls>
            <c:spPr>
              <a:noFill/>
              <a:ln>
                <a:noFill/>
              </a:ln>
              <a:effectLst/>
            </c:spPr>
            <c:txPr>
              <a:bodyPr rot="0" spcFirstLastPara="0" vertOverflow="ellipsis" vert="horz" wrap="square" lIns="38100" tIns="19050" rIns="38100" bIns="19050" anchor="ctr" anchorCtr="1"/>
              <a:lstStyle/>
              <a:p>
                <a:pPr>
                  <a:defRPr lang="zh-CN" sz="1000" b="0" i="0" u="none" strike="noStrike" kern="1200" baseline="0">
                    <a:solidFill>
                      <a:schemeClr val="tx1"/>
                    </a:solidFill>
                    <a:latin typeface="+mn-lt"/>
                    <a:ea typeface="+mn-ea"/>
                    <a:cs typeface="+mn-cs"/>
                  </a:defRPr>
                </a:pPr>
              </a:p>
            </c:txPr>
            <c:dLblPos val="bestFit"/>
            <c:showLegendKey val="0"/>
            <c:showVal val="1"/>
            <c:showCatName val="0"/>
            <c:showSerName val="0"/>
            <c:showPercent val="0"/>
            <c:showBubbleSize val="0"/>
            <c:showLeaderLines val="1"/>
            <c:extLst>
              <c:ext xmlns:c15="http://schemas.microsoft.com/office/drawing/2012/chart" uri="{CE6537A1-D6FC-4f65-9D91-7224C49458BB}">
                <c15:layout/>
                <c15:showLeaderLines val="1"/>
                <c15:leaderLines/>
              </c:ext>
            </c:extLst>
          </c:dLbls>
          <c:cat>
            <c:strRef>
              <c:f>[Book1.xlsx]Sheet1!$A$6</c:f>
              <c:strCache>
                <c:ptCount val="1"/>
                <c:pt idx="0">
                  <c:v>一般公共预算拨款收入</c:v>
                </c:pt>
              </c:strCache>
            </c:strRef>
          </c:cat>
          <c:val>
            <c:numRef>
              <c:f>[Book1.xlsx]Sheet1!$A$7</c:f>
              <c:numCache>
                <c:formatCode>0%</c:formatCode>
                <c:ptCount val="1"/>
                <c:pt idx="0">
                  <c:v>1</c:v>
                </c:pt>
              </c:numCache>
            </c:numRef>
          </c:val>
        </c:ser>
        <c:dLbls>
          <c:showLegendKey val="0"/>
          <c:showVal val="1"/>
          <c:showCatName val="0"/>
          <c:showSerName val="0"/>
          <c:showPercent val="0"/>
          <c:showBubbleSize val="0"/>
          <c:showLeaderLines val="1"/>
        </c:dLbls>
        <c:firstSliceAng val="0"/>
      </c:pieChart>
    </c:plotArea>
    <c:legend>
      <c:legendPos val="r"/>
      <c:layout>
        <c:manualLayout>
          <c:xMode val="edge"/>
          <c:yMode val="edge"/>
          <c:x val="0.700737532808399"/>
          <c:y val="0.0547878390201225"/>
          <c:w val="0.236068022747157"/>
          <c:h val="0.307090988626422"/>
        </c:manualLayout>
      </c:layout>
      <c:overlay val="0"/>
      <c:txPr>
        <a:bodyPr rot="0" spcFirstLastPara="0" vertOverflow="ellipsis" vert="horz" wrap="square" anchor="ctr" anchorCtr="1"/>
        <a:lstStyle/>
        <a:p>
          <a:pPr>
            <a:defRPr lang="zh-CN" sz="1000" b="0" i="0" u="none" strike="noStrike" kern="1200" baseline="0">
              <a:solidFill>
                <a:schemeClr val="tx1"/>
              </a:solidFill>
              <a:latin typeface="+mn-lt"/>
              <a:ea typeface="+mn-ea"/>
              <a:cs typeface="+mn-cs"/>
            </a:defRPr>
          </a:pPr>
        </a:p>
      </c:txPr>
    </c:legend>
    <c:plotVisOnly val="1"/>
    <c:dispBlanksAs val="gap"/>
    <c:showDLblsOverMax val="0"/>
  </c:chart>
  <c:txPr>
    <a:bodyPr/>
    <a:lstStyle/>
    <a:p>
      <a:pPr>
        <a:defRPr lang="zh-CN"/>
      </a:pPr>
    </a:p>
  </c:txPr>
  <c:externalData r:id="rId1">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c:date1904 val="0"/>
  <c:lang val="zh-CN"/>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0" vertOverflow="ellipsis" vert="horz" wrap="square" anchor="ctr" anchorCtr="1"/>
          <a:lstStyle/>
          <a:p>
            <a:pPr>
              <a:defRPr lang="zh-CN" sz="1400" b="1" i="0" u="none" strike="noStrike" kern="1200" baseline="0">
                <a:solidFill>
                  <a:schemeClr val="dk1">
                    <a:lumMod val="75000"/>
                    <a:lumOff val="25000"/>
                  </a:schemeClr>
                </a:solidFill>
                <a:latin typeface="+mn-lt"/>
                <a:ea typeface="+mn-ea"/>
                <a:cs typeface="+mn-cs"/>
              </a:defRPr>
            </a:pPr>
            <a:r>
              <a:t>支出预算图</a:t>
            </a:r>
          </a:p>
        </c:rich>
      </c:tx>
      <c:layout/>
      <c:overlay val="0"/>
      <c:spPr>
        <a:noFill/>
        <a:ln>
          <a:noFill/>
        </a:ln>
        <a:effectLst/>
      </c:spPr>
    </c:title>
    <c:autoTitleDeleted val="0"/>
    <c:view3D>
      <c:rotX val="30"/>
      <c:rotY val="0"/>
      <c:depthPercent val="100"/>
      <c:rAngAx val="0"/>
    </c:view3D>
    <c:floor>
      <c:thickness val="0"/>
      <c:spPr>
        <a:noFill/>
        <a:effectLst/>
      </c:spPr>
    </c:floor>
    <c:sideWall>
      <c:thickness val="0"/>
      <c:spPr>
        <a:noFill/>
        <a:effectLst/>
      </c:spPr>
    </c:sideWall>
    <c:backWall>
      <c:thickness val="0"/>
      <c:spPr>
        <a:noFill/>
        <a:effectLst/>
      </c:spPr>
    </c:backWall>
    <c:plotArea>
      <c:layout>
        <c:manualLayout>
          <c:layoutTarget val="inner"/>
          <c:xMode val="edge"/>
          <c:yMode val="edge"/>
          <c:x val="0.115753557121149"/>
          <c:y val="0.375044435040203"/>
          <c:w val="0.826511949164249"/>
          <c:h val="0.612797291578502"/>
        </c:manualLayout>
      </c:layout>
      <c:pie3DChart>
        <c:varyColors val="1"/>
        <c:ser>
          <c:idx val="0"/>
          <c:order val="0"/>
          <c:spPr>
            <a:scene3d>
              <a:camera prst="orthographicFront"/>
              <a:lightRig rig="threePt" dir="t"/>
            </a:scene3d>
            <a:sp3d contourW="9525"/>
          </c:spPr>
          <c:explosion val="0"/>
          <c:dPt>
            <c:idx val="0"/>
            <c:bubble3D val="0"/>
            <c:spPr>
              <a:gradFill>
                <a:gsLst>
                  <a:gs pos="100000">
                    <a:schemeClr val="accent1"/>
                  </a:gs>
                  <a:gs pos="0">
                    <a:schemeClr val="accent1">
                      <a:hueOff val="-1670000"/>
                    </a:schemeClr>
                  </a:gs>
                </a:gsLst>
                <a:lin ang="5400000" scaled="0"/>
              </a:gradFill>
              <a:ln>
                <a:gradFill>
                  <a:gsLst>
                    <a:gs pos="100000">
                      <a:schemeClr val="accent1">
                        <a:lumMod val="75000"/>
                      </a:schemeClr>
                    </a:gs>
                    <a:gs pos="0">
                      <a:schemeClr val="accent1">
                        <a:lumMod val="75000"/>
                        <a:hueOff val="-1670000"/>
                      </a:schemeClr>
                    </a:gs>
                  </a:gsLst>
                  <a:lin ang="4620000" scaled="0"/>
                </a:gradFill>
              </a:ln>
              <a:effectLst/>
            </c:spPr>
          </c:dPt>
          <c:dPt>
            <c:idx val="1"/>
            <c:bubble3D val="0"/>
            <c:spPr>
              <a:gradFill>
                <a:gsLst>
                  <a:gs pos="100000">
                    <a:schemeClr val="accent2"/>
                  </a:gs>
                  <a:gs pos="0">
                    <a:schemeClr val="accent2">
                      <a:hueOff val="-1670000"/>
                    </a:schemeClr>
                  </a:gs>
                </a:gsLst>
                <a:lin ang="5400000" scaled="0"/>
              </a:gradFill>
              <a:ln>
                <a:gradFill>
                  <a:gsLst>
                    <a:gs pos="100000">
                      <a:schemeClr val="accent2">
                        <a:lumMod val="75000"/>
                      </a:schemeClr>
                    </a:gs>
                    <a:gs pos="0">
                      <a:schemeClr val="accent2">
                        <a:lumMod val="75000"/>
                        <a:hueOff val="-1670000"/>
                      </a:schemeClr>
                    </a:gs>
                  </a:gsLst>
                  <a:lin ang="4620000" scaled="0"/>
                </a:gradFill>
              </a:ln>
              <a:effectLst/>
            </c:spPr>
          </c:dPt>
          <c:dPt>
            <c:idx val="2"/>
            <c:bubble3D val="0"/>
            <c:spPr>
              <a:gradFill>
                <a:gsLst>
                  <a:gs pos="100000">
                    <a:schemeClr val="accent3"/>
                  </a:gs>
                  <a:gs pos="0">
                    <a:schemeClr val="accent3">
                      <a:hueOff val="-1670000"/>
                    </a:schemeClr>
                  </a:gs>
                </a:gsLst>
                <a:lin ang="5400000" scaled="0"/>
              </a:gradFill>
              <a:ln>
                <a:gradFill>
                  <a:gsLst>
                    <a:gs pos="100000">
                      <a:schemeClr val="accent3">
                        <a:lumMod val="75000"/>
                      </a:schemeClr>
                    </a:gs>
                    <a:gs pos="0">
                      <a:schemeClr val="accent3">
                        <a:lumMod val="75000"/>
                        <a:hueOff val="-1670000"/>
                      </a:schemeClr>
                    </a:gs>
                  </a:gsLst>
                  <a:lin ang="4620000" scaled="0"/>
                </a:gradFill>
              </a:ln>
              <a:effectLst/>
            </c:spPr>
          </c:dPt>
          <c:dPt>
            <c:idx val="3"/>
            <c:bubble3D val="0"/>
            <c:spPr>
              <a:gradFill>
                <a:gsLst>
                  <a:gs pos="100000">
                    <a:schemeClr val="accent4"/>
                  </a:gs>
                  <a:gs pos="0">
                    <a:schemeClr val="accent4">
                      <a:hueOff val="-1670000"/>
                    </a:schemeClr>
                  </a:gs>
                </a:gsLst>
                <a:lin ang="5400000" scaled="0"/>
              </a:gradFill>
              <a:ln>
                <a:gradFill>
                  <a:gsLst>
                    <a:gs pos="100000">
                      <a:schemeClr val="accent4">
                        <a:lumMod val="75000"/>
                      </a:schemeClr>
                    </a:gs>
                    <a:gs pos="0">
                      <a:schemeClr val="accent4">
                        <a:lumMod val="75000"/>
                        <a:hueOff val="-1670000"/>
                      </a:schemeClr>
                    </a:gs>
                  </a:gsLst>
                  <a:lin ang="4620000" scaled="0"/>
                </a:gradFill>
              </a:ln>
              <a:effectLst/>
            </c:spPr>
          </c:dPt>
          <c:dPt>
            <c:idx val="4"/>
            <c:bubble3D val="0"/>
            <c:spPr>
              <a:gradFill>
                <a:gsLst>
                  <a:gs pos="100000">
                    <a:schemeClr val="accent5"/>
                  </a:gs>
                  <a:gs pos="0">
                    <a:schemeClr val="accent5">
                      <a:hueOff val="-1670000"/>
                    </a:schemeClr>
                  </a:gs>
                </a:gsLst>
                <a:lin ang="5400000" scaled="0"/>
              </a:gradFill>
              <a:ln>
                <a:gradFill>
                  <a:gsLst>
                    <a:gs pos="100000">
                      <a:schemeClr val="accent5">
                        <a:lumMod val="75000"/>
                      </a:schemeClr>
                    </a:gs>
                    <a:gs pos="0">
                      <a:schemeClr val="accent5">
                        <a:lumMod val="75000"/>
                        <a:hueOff val="-1670000"/>
                      </a:schemeClr>
                    </a:gs>
                  </a:gsLst>
                  <a:lin ang="4620000" scaled="0"/>
                </a:gradFill>
              </a:ln>
              <a:effectLst/>
              <a:scene3d>
                <a:camera prst="orthographicFront"/>
                <a:lightRig rig="threePt" dir="t"/>
              </a:scene3d>
              <a:sp3d contourW="9525"/>
            </c:spPr>
          </c:dPt>
          <c:dLbls>
            <c:dLbl>
              <c:idx val="0"/>
              <c:layout>
                <c:manualLayout>
                  <c:x val="-0.04247704510012"/>
                  <c:y val="-0.0260843754663788"/>
                </c:manualLayout>
              </c:layout>
              <c:numFmt formatCode="0.00%" sourceLinked="0"/>
              <c:spPr>
                <a:solidFill>
                  <a:sysClr val="window" lastClr="FFFFFF"/>
                </a:solidFill>
                <a:ln>
                  <a:solidFill>
                    <a:sysClr val="windowText" lastClr="000000">
                      <a:lumMod val="65000"/>
                      <a:lumOff val="35000"/>
                    </a:sysClr>
                  </a:solidFill>
                </a:ln>
                <a:effectLst/>
              </c:spPr>
              <c:txPr>
                <a:bodyPr rot="0" spcFirstLastPara="0" vertOverflow="ellipsis" vert="horz" wrap="square" lIns="38100" tIns="19050" rIns="38100" bIns="19050" anchor="ctr" anchorCtr="1"/>
                <a:lstStyle/>
                <a:p>
                  <a:pPr>
                    <a:defRPr lang="zh-CN" sz="1000" b="0" i="0" u="none" strike="noStrike" kern="1200" baseline="0">
                      <a:solidFill>
                        <a:schemeClr val="dk1">
                          <a:lumMod val="75000"/>
                          <a:lumOff val="25000"/>
                        </a:schemeClr>
                      </a:solidFill>
                      <a:latin typeface="+mn-lt"/>
                      <a:ea typeface="+mn-ea"/>
                      <a:cs typeface="+mn-cs"/>
                    </a:defRPr>
                  </a:pPr>
                </a:p>
              </c:txPr>
              <c:dLblPos val="bestFit"/>
              <c:showLegendKey val="0"/>
              <c:showVal val="0"/>
              <c:showCatName val="1"/>
              <c:showSerName val="0"/>
              <c:showPercent val="1"/>
              <c:showBubbleSize val="0"/>
              <c:separator> </c:separator>
              <c:extLst>
                <c:ext xmlns:c15="http://schemas.microsoft.com/office/drawing/2012/chart" uri="{CE6537A1-D6FC-4f65-9D91-7224C49458BB}">
                  <c15:layout/>
                </c:ext>
              </c:extLst>
            </c:dLbl>
            <c:dLbl>
              <c:idx val="1"/>
              <c:layout>
                <c:manualLayout>
                  <c:x val="0.192287838975576"/>
                  <c:y val="0.0165572784738961"/>
                </c:manualLayout>
              </c:layout>
              <c:numFmt formatCode="0.00%" sourceLinked="0"/>
              <c:spPr>
                <a:solidFill>
                  <a:sysClr val="window" lastClr="FFFFFF"/>
                </a:solidFill>
                <a:ln>
                  <a:solidFill>
                    <a:sysClr val="windowText" lastClr="000000">
                      <a:lumMod val="65000"/>
                      <a:lumOff val="35000"/>
                    </a:sysClr>
                  </a:solidFill>
                </a:ln>
                <a:effectLst/>
              </c:spPr>
              <c:txPr>
                <a:bodyPr rot="0" spcFirstLastPara="0" vertOverflow="ellipsis" vert="horz" wrap="square" lIns="38100" tIns="19050" rIns="38100" bIns="19050" anchor="ctr" anchorCtr="1"/>
                <a:lstStyle/>
                <a:p>
                  <a:pPr>
                    <a:defRPr lang="zh-CN" sz="1000" b="0" i="0" u="none" strike="noStrike" kern="1200" baseline="0">
                      <a:solidFill>
                        <a:schemeClr val="dk1">
                          <a:lumMod val="75000"/>
                          <a:lumOff val="25000"/>
                        </a:schemeClr>
                      </a:solidFill>
                      <a:latin typeface="+mn-lt"/>
                      <a:ea typeface="+mn-ea"/>
                      <a:cs typeface="+mn-cs"/>
                    </a:defRPr>
                  </a:pPr>
                </a:p>
              </c:txPr>
              <c:dLblPos val="bestFit"/>
              <c:showLegendKey val="0"/>
              <c:showVal val="0"/>
              <c:showCatName val="1"/>
              <c:showSerName val="0"/>
              <c:showPercent val="1"/>
              <c:showBubbleSize val="0"/>
              <c:separator> </c:separator>
              <c:extLst>
                <c:ext xmlns:c15="http://schemas.microsoft.com/office/drawing/2012/chart" uri="{CE6537A1-D6FC-4f65-9D91-7224C49458BB}">
                  <c15:layout/>
                </c:ext>
              </c:extLst>
            </c:dLbl>
            <c:dLbl>
              <c:idx val="2"/>
              <c:layout>
                <c:manualLayout>
                  <c:x val="-0.393755704289626"/>
                  <c:y val="0.162403517084031"/>
                </c:manualLayout>
              </c:layout>
              <c:numFmt formatCode="0.00%" sourceLinked="0"/>
              <c:spPr>
                <a:solidFill>
                  <a:sysClr val="window" lastClr="FFFFFF"/>
                </a:solidFill>
                <a:ln>
                  <a:solidFill>
                    <a:sysClr val="windowText" lastClr="000000">
                      <a:lumMod val="65000"/>
                      <a:lumOff val="35000"/>
                    </a:sysClr>
                  </a:solidFill>
                </a:ln>
                <a:effectLst/>
              </c:spPr>
              <c:txPr>
                <a:bodyPr rot="0" spcFirstLastPara="0" vertOverflow="ellipsis" vert="horz" wrap="square" lIns="38100" tIns="19050" rIns="38100" bIns="19050" anchor="ctr" anchorCtr="1"/>
                <a:lstStyle/>
                <a:p>
                  <a:pPr>
                    <a:defRPr lang="zh-CN" sz="1000" b="0" i="0" u="none" strike="noStrike" kern="1200" baseline="0">
                      <a:solidFill>
                        <a:schemeClr val="dk1">
                          <a:lumMod val="75000"/>
                          <a:lumOff val="25000"/>
                        </a:schemeClr>
                      </a:solidFill>
                      <a:latin typeface="+mn-lt"/>
                      <a:ea typeface="+mn-ea"/>
                      <a:cs typeface="+mn-cs"/>
                    </a:defRPr>
                  </a:pPr>
                </a:p>
              </c:txPr>
              <c:dLblPos val="bestFit"/>
              <c:showLegendKey val="0"/>
              <c:showVal val="0"/>
              <c:showCatName val="1"/>
              <c:showSerName val="0"/>
              <c:showPercent val="1"/>
              <c:showBubbleSize val="0"/>
              <c:separator> </c:separator>
              <c:extLst>
                <c:ext xmlns:c15="http://schemas.microsoft.com/office/drawing/2012/chart" uri="{CE6537A1-D6FC-4f65-9D91-7224C49458BB}">
                  <c15:layout/>
                </c:ext>
              </c:extLst>
            </c:dLbl>
            <c:dLbl>
              <c:idx val="3"/>
              <c:layout>
                <c:manualLayout>
                  <c:x val="0.300160436506772"/>
                  <c:y val="0.248883797453108"/>
                </c:manualLayout>
              </c:layout>
              <c:numFmt formatCode="0.00%" sourceLinked="0"/>
              <c:spPr>
                <a:solidFill>
                  <a:sysClr val="window" lastClr="FFFFFF"/>
                </a:solidFill>
                <a:ln>
                  <a:solidFill>
                    <a:sysClr val="windowText" lastClr="000000">
                      <a:lumMod val="65000"/>
                      <a:lumOff val="35000"/>
                    </a:sysClr>
                  </a:solidFill>
                </a:ln>
                <a:effectLst/>
              </c:spPr>
              <c:txPr>
                <a:bodyPr rot="0" spcFirstLastPara="0" vertOverflow="ellipsis" vert="horz" wrap="square" lIns="38100" tIns="19050" rIns="38100" bIns="19050" anchor="ctr" anchorCtr="1"/>
                <a:lstStyle/>
                <a:p>
                  <a:pPr>
                    <a:defRPr lang="zh-CN" sz="1000" b="0" i="0" u="none" strike="noStrike" kern="1200" baseline="0">
                      <a:solidFill>
                        <a:schemeClr val="dk1">
                          <a:lumMod val="75000"/>
                          <a:lumOff val="25000"/>
                        </a:schemeClr>
                      </a:solidFill>
                      <a:latin typeface="+mn-lt"/>
                      <a:ea typeface="+mn-ea"/>
                      <a:cs typeface="+mn-cs"/>
                    </a:defRPr>
                  </a:pPr>
                </a:p>
              </c:txPr>
              <c:dLblPos val="bestFit"/>
              <c:showLegendKey val="0"/>
              <c:showVal val="0"/>
              <c:showCatName val="1"/>
              <c:showSerName val="0"/>
              <c:showPercent val="1"/>
              <c:showBubbleSize val="0"/>
              <c:separator> </c:separator>
              <c:extLst>
                <c:ext xmlns:c15="http://schemas.microsoft.com/office/drawing/2012/chart" uri="{CE6537A1-D6FC-4f65-9D91-7224C49458BB}">
                  <c15:layout/>
                </c:ext>
              </c:extLst>
            </c:dLbl>
            <c:numFmt formatCode="0.00%" sourceLinked="0"/>
            <c:spPr>
              <a:solidFill>
                <a:sysClr val="window" lastClr="FFFFFF"/>
              </a:solidFill>
              <a:ln>
                <a:solidFill>
                  <a:sysClr val="windowText" lastClr="000000">
                    <a:lumMod val="65000"/>
                    <a:lumOff val="35000"/>
                  </a:sysClr>
                </a:solidFill>
              </a:ln>
              <a:effectLst/>
            </c:spPr>
            <c:txPr>
              <a:bodyPr rot="0" spcFirstLastPara="0" vertOverflow="ellipsis" vert="horz" wrap="square" lIns="38100" tIns="19050" rIns="38100" bIns="19050" anchor="ctr" anchorCtr="1"/>
              <a:lstStyle/>
              <a:p>
                <a:pPr>
                  <a:defRPr lang="zh-CN" sz="1000" b="0" i="0" u="none" strike="noStrike" kern="1200" baseline="0">
                    <a:solidFill>
                      <a:schemeClr val="dk1">
                        <a:lumMod val="75000"/>
                        <a:lumOff val="25000"/>
                      </a:schemeClr>
                    </a:solidFill>
                    <a:latin typeface="+mn-lt"/>
                    <a:ea typeface="+mn-ea"/>
                    <a:cs typeface="+mn-cs"/>
                  </a:defRPr>
                </a:pPr>
              </a:p>
            </c:txPr>
            <c:dLblPos val="outEnd"/>
            <c:showLegendKey val="0"/>
            <c:showVal val="0"/>
            <c:showCatName val="1"/>
            <c:showSerName val="0"/>
            <c:showPercent val="1"/>
            <c:showBubbleSize val="0"/>
            <c:separator> </c:separator>
            <c:showLeaderLines val="1"/>
            <c:extLst>
              <c:ext xmlns:c15="http://schemas.microsoft.com/office/drawing/2012/chart" uri="{CE6537A1-D6FC-4f65-9D91-7224C49458BB}">
                <c15:spPr xmlns:c15="http://schemas.microsoft.com/office/drawing/2012/chart">
                  <a:prstGeom prst="roundRect">
                    <a:avLst/>
                  </a:prstGeom>
                  <a:noFill/>
                  <a:ln>
                    <a:noFill/>
                  </a:ln>
                </c15:spPr>
                <c15:layout/>
                <c15:showLeaderLines val="1"/>
                <c15:leaderLines>
                  <c:spPr>
                    <a:ln w="9525">
                      <a:solidFill>
                        <a:schemeClr val="dk1">
                          <a:lumMod val="35000"/>
                          <a:lumOff val="65000"/>
                        </a:schemeClr>
                      </a:solidFill>
                    </a:ln>
                    <a:effectLst/>
                  </c:spPr>
                </c15:leaderLines>
              </c:ext>
            </c:extLst>
          </c:dLbls>
          <c:cat>
            <c:strRef>
              <c:f>[收入预算图.xlsx]Sheet1!$B$2:$B$6</c:f>
              <c:strCache>
                <c:ptCount val="5"/>
                <c:pt idx="0">
                  <c:v>社会保障和就业支出</c:v>
                </c:pt>
                <c:pt idx="1">
                  <c:v>卫生健康支出</c:v>
                </c:pt>
                <c:pt idx="2">
                  <c:v>住房保障支出</c:v>
                </c:pt>
                <c:pt idx="3">
                  <c:v>一般公共服务支出</c:v>
                </c:pt>
              </c:strCache>
            </c:strRef>
          </c:cat>
          <c:val>
            <c:numRef>
              <c:f>[收入预算图.xlsx]Sheet1!$C$2:$C$6</c:f>
              <c:numCache>
                <c:formatCode>0.00%</c:formatCode>
                <c:ptCount val="5"/>
                <c:pt idx="0">
                  <c:v>0.0754</c:v>
                </c:pt>
                <c:pt idx="1">
                  <c:v>0.0223</c:v>
                </c:pt>
                <c:pt idx="2">
                  <c:v>0.0365</c:v>
                </c:pt>
                <c:pt idx="3">
                  <c:v>0.8658</c:v>
                </c:pt>
              </c:numCache>
            </c:numRef>
          </c:val>
        </c:ser>
        <c:dLbls>
          <c:showLegendKey val="0"/>
          <c:showVal val="0"/>
          <c:showCatName val="1"/>
          <c:showSerName val="0"/>
          <c:showPercent val="1"/>
          <c:showBubbleSize val="0"/>
        </c:dLbls>
      </c:pie3DChart>
      <c:spPr>
        <a:noFill/>
        <a:ln>
          <a:noFill/>
        </a:ln>
        <a:effectLst/>
      </c:spPr>
    </c:plotArea>
    <c:legend>
      <c:legendPos val="t"/>
      <c:layout/>
      <c:overlay val="0"/>
      <c:spPr>
        <a:noFill/>
        <a:ln>
          <a:noFill/>
        </a:ln>
        <a:effectLst/>
      </c:spPr>
      <c:txPr>
        <a:bodyPr rot="0" spcFirstLastPara="0" vertOverflow="ellipsis" vert="horz" wrap="square" anchor="ctr" anchorCtr="1"/>
        <a:lstStyle/>
        <a:p>
          <a:pPr>
            <a:defRPr lang="zh-CN" sz="900" b="0" i="0" u="none" strike="noStrike" kern="1200" baseline="0">
              <a:solidFill>
                <a:schemeClr val="dk1">
                  <a:lumMod val="65000"/>
                  <a:lumOff val="35000"/>
                </a:schemeClr>
              </a:solidFill>
              <a:latin typeface="+mn-lt"/>
              <a:ea typeface="+mn-ea"/>
              <a:cs typeface="+mn-cs"/>
            </a:defRPr>
          </a:pPr>
        </a:p>
      </c:txPr>
    </c:legend>
    <c:plotVisOnly val="1"/>
    <c:dispBlanksAs val="gap"/>
    <c:showDLblsOverMax val="0"/>
  </c:chart>
  <c:spPr>
    <a:solidFill>
      <a:schemeClr val="lt1">
        <a:lumMod val="96000"/>
      </a:schemeClr>
    </a:solidFill>
    <a:ln w="9525" cap="flat" cmpd="sng" algn="ctr">
      <a:solidFill>
        <a:schemeClr val="tx1">
          <a:lumMod val="15000"/>
          <a:lumOff val="85000"/>
        </a:schemeClr>
      </a:solidFill>
      <a:round/>
    </a:ln>
    <a:effectLst/>
  </c:spPr>
  <c:txPr>
    <a:bodyPr/>
    <a:lstStyle/>
    <a:p>
      <a:pPr>
        <a:defRPr lang="zh-CN"/>
      </a:pPr>
    </a:p>
  </c:txPr>
  <c:externalData r:id="rId1">
    <c:autoUpdate val="0"/>
  </c:externalData>
</c:chartSpace>
</file>

<file path=word/charts/colors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10097">
  <cs:axisTitle>
    <cs:lnRef idx="0"/>
    <cs:fillRef idx="0"/>
    <cs:effectRef idx="0"/>
    <cs:fontRef idx="minor">
      <a:schemeClr val="dk1">
        <a:lumMod val="65000"/>
        <a:lumOff val="35000"/>
      </a:schemeClr>
    </cs:fontRef>
    <cs:defRPr sz="1000" kern="1200"/>
  </cs:axisTitle>
  <cs:categoryAxis>
    <cs:lnRef idx="0"/>
    <cs:fillRef idx="0"/>
    <cs:effectRef idx="0"/>
    <cs:fontRef idx="minor">
      <a:schemeClr val="dk1">
        <a:lumMod val="65000"/>
        <a:lumOff val="35000"/>
      </a:schemeClr>
    </cs:fontRef>
    <cs:spPr>
      <a:ln w="9525" cap="flat" cmpd="sng" algn="ctr">
        <a:solidFill>
          <a:schemeClr val="dk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lt1">
          <a:lumMod val="96000"/>
        </a:schemeClr>
      </a:solidFill>
      <a:ln w="9525" cap="flat" cmpd="sng" algn="ctr">
        <a:solidFill>
          <a:schemeClr val="tx1">
            <a:lumMod val="15000"/>
            <a:lumOff val="85000"/>
          </a:schemeClr>
        </a:solidFill>
        <a:round/>
      </a:ln>
    </cs:spPr>
    <cs:defRPr sz="1000" kern="1200"/>
  </cs:chartArea>
  <cs:dataLabel>
    <cs:lnRef idx="0"/>
    <cs:fillRef idx="0"/>
    <cs:effectRef idx="0"/>
    <cs:fontRef idx="minor">
      <a:schemeClr val="dk1">
        <a:lumMod val="75000"/>
        <a:lumOff val="25000"/>
      </a:schemeClr>
    </cs:fontRef>
    <cs:defRPr sz="10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10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ln w="19050">
        <a:solidFill>
          <a:schemeClr val="lt1"/>
        </a:solidFill>
      </a:ln>
    </cs:spPr>
  </cs:dataPoint>
  <cs:dataPoint3D>
    <cs:lnRef idx="0">
      <cs:styleClr val="auto"/>
    </cs:lnRef>
    <cs:fillRef idx="0">
      <cs:styleClr val="auto"/>
    </cs:fillRef>
    <cs:effectRef idx="0"/>
    <cs:fontRef idx="minor">
      <a:schemeClr val="dk1"/>
    </cs:fontRef>
    <cs:spPr>
      <a:gradFill>
        <a:gsLst>
          <a:gs pos="100000">
            <a:schemeClr val="phClr"/>
          </a:gs>
          <a:gs pos="0">
            <a:schemeClr val="phClr">
              <a:hueOff val="-1670000"/>
            </a:schemeClr>
          </a:gs>
        </a:gsLst>
        <a:lin ang="5400000" scaled="0"/>
      </a:gradFill>
      <a:ln>
        <a:gradFill>
          <a:gsLst>
            <a:gs pos="100000">
              <a:schemeClr val="phClr">
                <a:lumMod val="75000"/>
              </a:schemeClr>
            </a:gs>
            <a:gs pos="0">
              <a:schemeClr val="phClr">
                <a:lumMod val="75000"/>
                <a:hueOff val="-1670000"/>
              </a:schemeClr>
            </a:gs>
          </a:gsLst>
          <a:lin ang="4620000" scaled="0"/>
        </a:gradFill>
      </a:ln>
      <a:effectLst/>
    </cs:spPr>
  </cs:dataPoint3D>
  <cs:dataPointLine>
    <cs:lnRef idx="0">
      <cs:styleClr val="auto"/>
    </cs:lnRef>
    <cs:fillRef idx="0"/>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0"/>
    <cs:effectRef idx="0"/>
    <cs:fontRef idx="minor">
      <a:schemeClr val="tx1"/>
    </cs:fontRef>
    <cs:spPr>
      <a:ln w="9525" cap="rnd">
        <a:solidFill>
          <a:schemeClr val="phClr"/>
        </a:solidFill>
        <a:round/>
      </a:ln>
    </cs:spPr>
  </cs:dataPointWireframe>
  <cs:dataTable>
    <cs:lnRef idx="0"/>
    <cs:fillRef idx="0"/>
    <cs:effectRef idx="0"/>
    <cs:fontRef idx="minor">
      <a:schemeClr val="dk1">
        <a:lumMod val="65000"/>
        <a:lumOff val="35000"/>
      </a:schemeClr>
    </cs:fontRef>
    <cs:spPr>
      <a:noFill/>
      <a:ln w="9525" cap="flat" cmpd="sng" algn="ctr">
        <a:solidFill>
          <a:schemeClr val="dk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a:solidFill>
          <a:schemeClr val="dk1">
            <a:lumMod val="35000"/>
            <a:lumOff val="65000"/>
          </a:schemeClr>
        </a:solidFill>
      </a:ln>
    </cs:spPr>
  </cs:dropLine>
  <cs:errorBar>
    <cs:lnRef idx="0"/>
    <cs:fillRef idx="0"/>
    <cs:effectRef idx="0"/>
    <cs:fontRef idx="minor">
      <a:schemeClr val="tx1"/>
    </cs:fontRef>
    <cs:spPr>
      <a:ln w="9525" cap="flat" cmpd="sng" algn="ctr">
        <a:solidFill>
          <a:schemeClr val="dk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lt1">
            <a:lumMod val="902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a:solidFill>
          <a:schemeClr val="dk1">
            <a:lumMod val="75000"/>
            <a:lumOff val="25000"/>
          </a:schemeClr>
        </a:solidFill>
      </a:ln>
    </cs:spPr>
  </cs:hiLoLine>
  <cs:leaderLine>
    <cs:lnRef idx="0"/>
    <cs:fillRef idx="0"/>
    <cs:effectRef idx="0"/>
    <cs:fontRef idx="minor">
      <a:schemeClr val="tx1"/>
    </cs:fontRef>
    <cs:spPr>
      <a:ln w="9525">
        <a:solidFill>
          <a:schemeClr val="dk1">
            <a:lumMod val="35000"/>
            <a:lumOff val="65000"/>
          </a:schemeClr>
        </a:solidFill>
      </a:ln>
    </cs:spPr>
  </cs:leaderLine>
  <cs:legend>
    <cs:lnRef idx="0"/>
    <cs:fillRef idx="0"/>
    <cs:effectRef idx="0"/>
    <cs:fontRef idx="minor">
      <a:schemeClr val="dk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dk1">
        <a:lumMod val="65000"/>
        <a:lumOff val="35000"/>
      </a:schemeClr>
    </cs:fontRef>
    <cs:defRPr sz="900" kern="1200"/>
  </cs:seriesAxis>
  <cs:seriesLine>
    <cs:lnRef idx="0"/>
    <cs:fillRef idx="0"/>
    <cs:effectRef idx="0"/>
    <cs:fontRef idx="minor">
      <a:schemeClr val="tx1"/>
    </cs:fontRef>
    <cs:spPr>
      <a:ln w="9525">
        <a:solidFill>
          <a:schemeClr val="dk1">
            <a:lumMod val="35000"/>
            <a:lumOff val="65000"/>
          </a:schemeClr>
        </a:solidFill>
      </a:ln>
    </cs:spPr>
  </cs:seriesLine>
  <cs:title>
    <cs:lnRef idx="0"/>
    <cs:fillRef idx="0"/>
    <cs:effectRef idx="0"/>
    <cs:fontRef idx="minor">
      <a:schemeClr val="dk1">
        <a:lumMod val="75000"/>
        <a:lumOff val="25000"/>
      </a:schemeClr>
    </cs:fontRef>
    <cs:defRPr sz="1400" b="1" kern="120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dk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dk1">
        <a:lumMod val="65000"/>
        <a:lumOff val="35000"/>
      </a:schemeClr>
    </cs:fontRef>
    <cs:defRPr sz="900" kern="1200"/>
  </cs:valueAxis>
  <cs:wall>
    <cs:lnRef idx="0"/>
    <cs:fillRef idx="0"/>
    <cs:effectRef idx="0"/>
    <cs:fontRef idx="minor">
      <a:schemeClr val="tx1"/>
    </cs:fontRef>
    <cs:spPr>
      <a:noFill/>
      <a:ln>
        <a:noFill/>
      </a:ln>
    </cs:spPr>
  </cs:wall>
</cs:chartStyle>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15</Pages>
  <Words>5394</Words>
  <Characters>5755</Characters>
  <Lines>0</Lines>
  <Paragraphs>0</Paragraphs>
  <TotalTime>8</TotalTime>
  <ScaleCrop>false</ScaleCrop>
  <LinksUpToDate>false</LinksUpToDate>
  <CharactersWithSpaces>5765</CharactersWithSpaces>
  <Application>WPS Office_11.1.0.10356_F1E327BC-269C-435d-A152-05C5408002CA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2024-05-22T14:39:00Z</dcterms:created>
  <dc:creator>dell</dc:creator>
  <cp:lastModifiedBy>Administrator</cp:lastModifiedBy>
  <cp:lastPrinted>2024-05-31T08:04:00Z</cp:lastPrinted>
  <dcterms:modified xsi:type="dcterms:W3CDTF">2024-06-22T15:28:46Z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2052-11.1.0.10356</vt:lpwstr>
  </property>
  <property fmtid="{D5CDD505-2E9C-101B-9397-08002B2CF9AE}" pid="3" name="ICV">
    <vt:lpwstr>60BC7339106041DA91BAB39D0CD3151D_13</vt:lpwstr>
  </property>
</Properties>
</file>