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theme/themeOverride1.xml" ContentType="application/vnd.openxmlformats-officedocument.themeOverrid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岳阳市君山区国库集中支付核算中心</w:t>
      </w:r>
    </w:p>
    <w:p>
      <w:pPr>
        <w:spacing w:line="570" w:lineRule="atLeast"/>
        <w:jc w:val="center"/>
        <w:rPr>
          <w:rFonts w:hint="eastAsia" w:ascii="黑体" w:hAnsi="黑体" w:eastAsia="黑体" w:cs="黑体"/>
          <w:b/>
          <w:bCs/>
          <w:sz w:val="48"/>
          <w:szCs w:val="48"/>
        </w:rPr>
      </w:pPr>
      <w:r>
        <w:rPr>
          <w:rFonts w:hint="eastAsia" w:ascii="方正小标宋简体" w:hAnsi="方正小标宋简体" w:eastAsia="方正小标宋简体" w:cs="方正小标宋简体"/>
          <w:b/>
          <w:bCs/>
          <w:sz w:val="44"/>
          <w:szCs w:val="44"/>
          <w:lang w:val="en-US" w:eastAsia="zh-CN"/>
        </w:rPr>
        <w:t>2024年部门预算公开</w:t>
      </w:r>
    </w:p>
    <w:p>
      <w:pPr>
        <w:rPr>
          <w:rFonts w:hint="eastAsia"/>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r>
        <w:rPr>
          <w:rFonts w:hint="eastAsia" w:ascii="Times New Roman" w:hAnsi="Times New Roman" w:eastAsia="黑体" w:cs="Times New Roman"/>
          <w:b/>
          <w:kern w:val="0"/>
          <w:sz w:val="36"/>
          <w:szCs w:val="36"/>
        </w:rPr>
        <w:t>目 录</w:t>
      </w:r>
    </w:p>
    <w:p>
      <w:pPr>
        <w:ind w:firstLine="643" w:firstLineChars="200"/>
        <w:rPr>
          <w:rFonts w:hint="eastAsia" w:asciiTheme="minorEastAsia" w:hAnsiTheme="minorEastAsia" w:eastAsiaTheme="minorEastAsia" w:cstheme="minorEastAsia"/>
          <w:sz w:val="28"/>
          <w:szCs w:val="28"/>
        </w:rPr>
      </w:pPr>
      <w:r>
        <w:rPr>
          <w:rFonts w:hint="eastAsia" w:ascii="黑体" w:hAnsi="黑体" w:eastAsia="黑体" w:cs="黑体"/>
          <w:b/>
          <w:bCs/>
          <w:kern w:val="0"/>
          <w:sz w:val="32"/>
          <w:szCs w:val="32"/>
        </w:rPr>
        <w:t>第一部分 2024年部门预算说明</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一、部门基本概况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二、部门预算单位构成</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三、部门收支总体情况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四、一般公共预算拨款支出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五、政府性基金预算支出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六、其他重要事项的情况说明</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七、名词解释</w:t>
      </w:r>
    </w:p>
    <w:p>
      <w:pPr>
        <w:ind w:firstLine="643" w:firstLineChars="200"/>
        <w:rPr>
          <w:rFonts w:hint="eastAsia" w:asciiTheme="minorEastAsia" w:hAnsiTheme="minorEastAsia" w:eastAsiaTheme="minorEastAsia" w:cstheme="minorEastAsia"/>
          <w:sz w:val="28"/>
          <w:szCs w:val="28"/>
        </w:rPr>
      </w:pPr>
      <w:r>
        <w:rPr>
          <w:rFonts w:hint="eastAsia" w:ascii="黑体" w:hAnsi="黑体" w:eastAsia="黑体" w:cs="黑体"/>
          <w:b/>
          <w:bCs/>
          <w:kern w:val="0"/>
          <w:sz w:val="32"/>
          <w:szCs w:val="32"/>
        </w:rPr>
        <w:t>第二部分 2024年部门预算表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注：以上部门预算公开报表中，空表表示本部门无相关收支情况。</w:t>
      </w:r>
    </w:p>
    <w:p>
      <w:pPr>
        <w:jc w:val="center"/>
        <w:rPr>
          <w:rFonts w:hint="eastAsia" w:asciiTheme="minorEastAsia" w:hAnsiTheme="minorEastAsia" w:eastAsiaTheme="minorEastAsia" w:cstheme="minorEastAsia"/>
          <w:b/>
          <w:bCs/>
          <w:sz w:val="28"/>
          <w:szCs w:val="28"/>
        </w:rPr>
      </w:pPr>
    </w:p>
    <w:p>
      <w:pPr>
        <w:jc w:val="center"/>
        <w:rPr>
          <w:rFonts w:hint="eastAsia" w:ascii="Times New Roman" w:hAnsi="Times New Roman" w:eastAsia="方正小标宋_GBK" w:cs="Times New Roman"/>
          <w:b/>
          <w:bCs/>
          <w:kern w:val="0"/>
          <w:sz w:val="36"/>
          <w:szCs w:val="36"/>
        </w:rPr>
      </w:pPr>
      <w:r>
        <w:rPr>
          <w:rFonts w:hint="eastAsia" w:ascii="Times New Roman" w:hAnsi="Times New Roman" w:eastAsia="方正小标宋_GBK" w:cs="Times New Roman"/>
          <w:b/>
          <w:bCs/>
          <w:kern w:val="0"/>
          <w:sz w:val="36"/>
          <w:szCs w:val="36"/>
        </w:rPr>
        <w:t>第一部分 部门预算公开说明</w:t>
      </w:r>
    </w:p>
    <w:p>
      <w:pPr>
        <w:ind w:firstLine="643" w:firstLineChars="200"/>
        <w:rPr>
          <w:rFonts w:hint="eastAsia" w:ascii="Times New Roman" w:hAnsi="Times New Roman" w:eastAsia="黑体" w:cs="Times New Roman"/>
          <w:b/>
          <w:bCs/>
          <w:kern w:val="0"/>
          <w:sz w:val="32"/>
          <w:szCs w:val="32"/>
        </w:rPr>
      </w:pPr>
    </w:p>
    <w:p>
      <w:pPr>
        <w:ind w:firstLine="643" w:firstLineChars="200"/>
        <w:rPr>
          <w:rFonts w:hint="eastAsia" w:asciiTheme="minorEastAsia" w:hAnsiTheme="minorEastAsia" w:eastAsiaTheme="minorEastAsia" w:cstheme="minorEastAsia"/>
          <w:b/>
          <w:bCs/>
          <w:sz w:val="28"/>
          <w:szCs w:val="28"/>
        </w:rPr>
      </w:pPr>
      <w:r>
        <w:rPr>
          <w:rFonts w:hint="eastAsia" w:ascii="Times New Roman" w:hAnsi="Times New Roman" w:eastAsia="黑体" w:cs="Times New Roman"/>
          <w:b/>
          <w:bCs/>
          <w:kern w:val="0"/>
          <w:sz w:val="32"/>
          <w:szCs w:val="32"/>
        </w:rPr>
        <w:t>一、</w:t>
      </w:r>
      <w:r>
        <w:rPr>
          <w:rFonts w:hint="eastAsia" w:ascii="Times New Roman" w:hAnsi="Times New Roman" w:eastAsia="黑体" w:cs="Times New Roman"/>
          <w:b/>
          <w:bCs/>
          <w:kern w:val="0"/>
          <w:sz w:val="32"/>
          <w:szCs w:val="32"/>
          <w:lang w:val="en-US" w:eastAsia="zh-CN"/>
        </w:rPr>
        <w:t>部门</w:t>
      </w:r>
      <w:r>
        <w:rPr>
          <w:rFonts w:hint="eastAsia" w:ascii="Times New Roman" w:hAnsi="Times New Roman" w:eastAsia="黑体" w:cs="Times New Roman"/>
          <w:b/>
          <w:bCs/>
          <w:kern w:val="0"/>
          <w:sz w:val="32"/>
          <w:szCs w:val="32"/>
        </w:rPr>
        <w:t>基本概况</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（一）职能职责</w:t>
      </w:r>
    </w:p>
    <w:p>
      <w:pPr>
        <w:widowControl/>
        <w:spacing w:line="600" w:lineRule="exact"/>
        <w:ind w:firstLine="627" w:firstLineChars="196"/>
        <w:rPr>
          <w:rFonts w:hint="eastAsia" w:eastAsia="仿宋_GB2312"/>
          <w:sz w:val="32"/>
          <w:szCs w:val="32"/>
        </w:rPr>
      </w:pPr>
      <w:r>
        <w:rPr>
          <w:rFonts w:hint="eastAsia" w:eastAsia="仿宋_GB2312"/>
          <w:sz w:val="32"/>
          <w:szCs w:val="32"/>
        </w:rPr>
        <w:t>主要工作职责：</w:t>
      </w:r>
    </w:p>
    <w:p>
      <w:pPr>
        <w:widowControl/>
        <w:spacing w:line="600" w:lineRule="exact"/>
        <w:ind w:firstLine="627" w:firstLineChars="196"/>
        <w:rPr>
          <w:rFonts w:hint="eastAsia" w:eastAsia="仿宋_GB2312"/>
          <w:sz w:val="32"/>
          <w:szCs w:val="32"/>
        </w:rPr>
      </w:pPr>
      <w:r>
        <w:rPr>
          <w:rFonts w:hint="eastAsia" w:eastAsia="仿宋_GB2312"/>
          <w:sz w:val="32"/>
          <w:szCs w:val="32"/>
        </w:rPr>
        <w:t>1、贯彻执行国家财经纪律、法规和方针政策，建立和和管理国库单一账户体系。</w:t>
      </w:r>
    </w:p>
    <w:p>
      <w:pPr>
        <w:widowControl/>
        <w:spacing w:line="600" w:lineRule="exact"/>
        <w:ind w:firstLine="627" w:firstLineChars="196"/>
        <w:rPr>
          <w:rFonts w:hint="eastAsia" w:eastAsia="仿宋_GB2312"/>
          <w:sz w:val="32"/>
          <w:szCs w:val="32"/>
        </w:rPr>
      </w:pPr>
      <w:r>
        <w:rPr>
          <w:rFonts w:hint="eastAsia" w:eastAsia="仿宋_GB2312"/>
          <w:sz w:val="32"/>
          <w:szCs w:val="32"/>
        </w:rPr>
        <w:t>2、负责研究制订国家集中支付相关制度，协调人民银行国库部门、代理银行、预算单位等各有关方的相关业务工作，办理财政直接支付零余额账户和授权支付零余额账户的业务。</w:t>
      </w:r>
    </w:p>
    <w:p>
      <w:pPr>
        <w:widowControl/>
        <w:spacing w:line="600" w:lineRule="exact"/>
        <w:ind w:firstLine="627" w:firstLineChars="196"/>
        <w:rPr>
          <w:rFonts w:hint="eastAsia" w:eastAsia="仿宋_GB2312"/>
          <w:sz w:val="32"/>
          <w:szCs w:val="32"/>
        </w:rPr>
      </w:pPr>
      <w:r>
        <w:rPr>
          <w:rFonts w:hint="eastAsia" w:eastAsia="仿宋_GB2312"/>
          <w:sz w:val="32"/>
          <w:szCs w:val="32"/>
        </w:rPr>
        <w:t>3、负责财政国库集中支付业务相关账务处理，办理预算单位财政性资金支出明细账，监督预算单位的预算指标、用款计划情况。</w:t>
      </w:r>
    </w:p>
    <w:p>
      <w:pPr>
        <w:widowControl/>
        <w:spacing w:line="600" w:lineRule="exact"/>
        <w:ind w:firstLine="627" w:firstLineChars="196"/>
        <w:rPr>
          <w:rFonts w:hint="eastAsia" w:eastAsia="仿宋_GB2312"/>
          <w:sz w:val="32"/>
          <w:szCs w:val="32"/>
        </w:rPr>
      </w:pPr>
      <w:r>
        <w:rPr>
          <w:rFonts w:hint="eastAsia" w:eastAsia="仿宋_GB2312"/>
          <w:sz w:val="32"/>
          <w:szCs w:val="32"/>
        </w:rPr>
        <w:t>4、负责制定收付系统内部管理和监督制度，对财政支付机构和收付系统内部进行监督检查。</w:t>
      </w:r>
    </w:p>
    <w:p>
      <w:pPr>
        <w:widowControl/>
        <w:spacing w:line="600" w:lineRule="exact"/>
        <w:ind w:firstLine="627" w:firstLineChars="196"/>
        <w:rPr>
          <w:rFonts w:hint="eastAsia" w:eastAsia="仿宋_GB2312"/>
          <w:sz w:val="32"/>
          <w:szCs w:val="32"/>
        </w:rPr>
      </w:pPr>
      <w:r>
        <w:rPr>
          <w:rFonts w:hint="eastAsia" w:eastAsia="仿宋_GB2312"/>
          <w:sz w:val="32"/>
          <w:szCs w:val="32"/>
        </w:rPr>
        <w:t>5、负责建设并维护局内收付管理信息系统，以及受委托的财政系统网络信息化管理。</w:t>
      </w:r>
    </w:p>
    <w:p>
      <w:pPr>
        <w:widowControl/>
        <w:spacing w:line="600" w:lineRule="exact"/>
        <w:ind w:firstLine="627" w:firstLineChars="196"/>
        <w:rPr>
          <w:rFonts w:hint="eastAsia" w:eastAsia="仿宋_GB2312"/>
          <w:sz w:val="32"/>
          <w:szCs w:val="32"/>
        </w:rPr>
      </w:pPr>
      <w:r>
        <w:rPr>
          <w:rFonts w:hint="eastAsia" w:eastAsia="仿宋_GB2312"/>
          <w:sz w:val="32"/>
          <w:szCs w:val="32"/>
        </w:rPr>
        <w:t>6、负责各预算单位财政工资统发工作。</w:t>
      </w:r>
    </w:p>
    <w:p>
      <w:pPr>
        <w:widowControl/>
        <w:spacing w:line="600" w:lineRule="exact"/>
        <w:ind w:firstLine="627" w:firstLineChars="196"/>
        <w:rPr>
          <w:rFonts w:hint="eastAsia" w:eastAsia="仿宋_GB2312"/>
          <w:sz w:val="32"/>
          <w:szCs w:val="32"/>
        </w:rPr>
      </w:pPr>
      <w:r>
        <w:rPr>
          <w:rFonts w:hint="eastAsia" w:eastAsia="仿宋_GB2312"/>
          <w:sz w:val="32"/>
          <w:szCs w:val="32"/>
        </w:rPr>
        <w:t>7、负责办理部分行政事业单位会计集中核算工作。</w:t>
      </w:r>
    </w:p>
    <w:p>
      <w:pPr>
        <w:widowControl/>
        <w:spacing w:line="600" w:lineRule="exact"/>
        <w:ind w:firstLine="627" w:firstLineChars="196"/>
        <w:rPr>
          <w:rFonts w:hint="eastAsia" w:eastAsia="仿宋_GB2312"/>
          <w:sz w:val="32"/>
          <w:szCs w:val="32"/>
        </w:rPr>
      </w:pPr>
      <w:r>
        <w:rPr>
          <w:rFonts w:hint="eastAsia" w:eastAsia="仿宋_GB2312"/>
          <w:sz w:val="32"/>
          <w:szCs w:val="32"/>
        </w:rPr>
        <w:t>8、完成上级交办的其他工作。</w:t>
      </w:r>
    </w:p>
    <w:p>
      <w:pPr>
        <w:spacing w:line="570" w:lineRule="atLeast"/>
        <w:ind w:firstLine="643" w:firstLineChars="200"/>
        <w:rPr>
          <w:rFonts w:hint="eastAsia" w:ascii="仿宋_GB2312" w:hAnsi="仿宋_GB2312" w:eastAsia="仿宋_GB2312" w:cs="仿宋_GB2312"/>
          <w:b/>
          <w:bCs/>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（二）机构设置</w:t>
      </w:r>
    </w:p>
    <w:p>
      <w:pPr>
        <w:widowControl/>
        <w:spacing w:line="600" w:lineRule="exact"/>
        <w:ind w:firstLine="627" w:firstLineChars="196"/>
        <w:rPr>
          <w:rFonts w:hint="eastAsia" w:eastAsia="仿宋_GB2312"/>
          <w:sz w:val="32"/>
          <w:szCs w:val="32"/>
          <w:lang w:val="en-US" w:eastAsia="zh-CN"/>
        </w:rPr>
      </w:pPr>
      <w:r>
        <w:rPr>
          <w:rFonts w:hint="eastAsia" w:eastAsia="仿宋_GB2312"/>
          <w:sz w:val="32"/>
          <w:szCs w:val="32"/>
          <w:lang w:val="en-US" w:eastAsia="zh-CN"/>
        </w:rPr>
        <w:t>君山区国库集中支付核算中心</w:t>
      </w:r>
      <w:r>
        <w:rPr>
          <w:rFonts w:hint="eastAsia" w:eastAsia="仿宋_GB2312"/>
          <w:sz w:val="32"/>
          <w:szCs w:val="32"/>
        </w:rPr>
        <w:t>设5个职能股室</w:t>
      </w:r>
      <w:r>
        <w:rPr>
          <w:rFonts w:hint="eastAsia" w:eastAsia="仿宋_GB2312"/>
          <w:sz w:val="32"/>
          <w:szCs w:val="32"/>
          <w:lang w:eastAsia="zh-CN"/>
        </w:rPr>
        <w:t>，分别为</w:t>
      </w:r>
      <w:r>
        <w:rPr>
          <w:rFonts w:hint="eastAsia" w:eastAsia="仿宋_GB2312"/>
          <w:sz w:val="32"/>
          <w:szCs w:val="32"/>
        </w:rPr>
        <w:t>综合股、支付股、核算股、集中结算中心、工资统发中心</w:t>
      </w:r>
      <w:r>
        <w:rPr>
          <w:rFonts w:hint="eastAsia" w:eastAsia="仿宋_GB2312"/>
          <w:sz w:val="32"/>
          <w:szCs w:val="32"/>
          <w:lang w:eastAsia="zh-CN"/>
        </w:rPr>
        <w:t>，</w:t>
      </w:r>
      <w:r>
        <w:rPr>
          <w:rFonts w:hint="eastAsia" w:eastAsia="仿宋_GB2312"/>
          <w:sz w:val="32"/>
          <w:szCs w:val="32"/>
        </w:rPr>
        <w:t>核定区国库集中支付核算中心财政全额拨款事业编制1</w:t>
      </w:r>
      <w:r>
        <w:rPr>
          <w:rFonts w:hint="eastAsia" w:eastAsia="仿宋_GB2312"/>
          <w:sz w:val="32"/>
          <w:szCs w:val="32"/>
          <w:lang w:val="en-US" w:eastAsia="zh-CN"/>
        </w:rPr>
        <w:t>0</w:t>
      </w:r>
      <w:r>
        <w:rPr>
          <w:rFonts w:hint="eastAsia" w:eastAsia="仿宋_GB2312"/>
          <w:sz w:val="32"/>
          <w:szCs w:val="32"/>
        </w:rPr>
        <w:t>名</w:t>
      </w:r>
      <w:r>
        <w:rPr>
          <w:rFonts w:hint="eastAsia" w:eastAsia="仿宋_GB2312"/>
          <w:sz w:val="32"/>
          <w:szCs w:val="32"/>
          <w:lang w:eastAsia="zh-CN"/>
        </w:rPr>
        <w:t>。</w:t>
      </w:r>
    </w:p>
    <w:p>
      <w:pPr>
        <w:ind w:firstLine="643" w:firstLineChars="200"/>
        <w:rPr>
          <w:rFonts w:hint="eastAsia" w:ascii="Times New Roman" w:hAnsi="Times New Roman" w:eastAsia="黑体" w:cs="Times New Roman"/>
          <w:b/>
          <w:bCs/>
          <w:kern w:val="0"/>
          <w:sz w:val="32"/>
          <w:szCs w:val="32"/>
          <w:highlight w:val="none"/>
          <w:lang w:val="en-US" w:eastAsia="zh-CN"/>
        </w:rPr>
      </w:pPr>
      <w:r>
        <w:rPr>
          <w:rFonts w:hint="eastAsia" w:ascii="Times New Roman" w:hAnsi="Times New Roman" w:eastAsia="黑体" w:cs="Times New Roman"/>
          <w:b/>
          <w:bCs/>
          <w:kern w:val="0"/>
          <w:sz w:val="32"/>
          <w:szCs w:val="32"/>
          <w:highlight w:val="none"/>
          <w:lang w:val="en-US" w:eastAsia="zh-CN"/>
        </w:rPr>
        <w:t>二、部门预算单位构成</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bookmarkStart w:id="0" w:name="DEPT_COMPOSE"/>
      <w:r>
        <w:rPr>
          <w:rFonts w:hint="eastAsia" w:ascii="仿宋_GB2312" w:hAnsi="仿宋_GB2312" w:eastAsia="仿宋_GB2312" w:cs="仿宋_GB2312"/>
          <w:color w:val="000000"/>
          <w:sz w:val="32"/>
          <w:szCs w:val="32"/>
          <w:highlight w:val="none"/>
          <w:shd w:val="clear" w:color="auto" w:fill="FFFFFF"/>
          <w:lang w:val="en-US" w:eastAsia="zh-CN"/>
        </w:rPr>
        <w:t>本单位部门预算只有岳阳市君山区国库集中支付核算中心本级，没有其他二级预算单位，因此，纳入2024年部门预算编制范围的只有岳阳市君山区国库集中支付核算中心本级。</w:t>
      </w:r>
      <w:bookmarkEnd w:id="0"/>
    </w:p>
    <w:p>
      <w:pPr>
        <w:ind w:firstLine="643" w:firstLineChars="200"/>
        <w:rPr>
          <w:rFonts w:hint="eastAsia" w:ascii="Times New Roman" w:hAnsi="Times New Roman" w:eastAsia="黑体" w:cs="Times New Roman"/>
          <w:b/>
          <w:bCs/>
          <w:kern w:val="0"/>
          <w:sz w:val="32"/>
          <w:szCs w:val="32"/>
          <w:highlight w:val="none"/>
          <w:lang w:val="en-US" w:eastAsia="zh-CN"/>
        </w:rPr>
      </w:pPr>
      <w:r>
        <w:rPr>
          <w:rFonts w:hint="eastAsia" w:ascii="Times New Roman" w:hAnsi="Times New Roman" w:eastAsia="黑体" w:cs="Times New Roman"/>
          <w:b/>
          <w:bCs/>
          <w:kern w:val="0"/>
          <w:sz w:val="32"/>
          <w:szCs w:val="32"/>
          <w:highlight w:val="none"/>
          <w:lang w:val="en-US" w:eastAsia="zh-CN"/>
        </w:rPr>
        <w:t>三、部门收支总体情况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本单位2024年没有政府性基金预算拨款、国有资本经营预算收入和纳入专户管理的非税收入拨款收入，也没有使用政府性基金预算拨款、国有资本经营预算收入和纳入专户管理的非税收入拨款安排的支出，所以部门预算公开表1</w:t>
      </w:r>
      <w:r>
        <w:rPr>
          <w:rFonts w:hint="eastAsia" w:ascii="仿宋_GB2312" w:hAnsi="仿宋_GB2312" w:eastAsia="仿宋_GB2312" w:cs="仿宋_GB2312"/>
          <w:color w:val="000000"/>
          <w:sz w:val="32"/>
          <w:szCs w:val="32"/>
          <w:shd w:val="clear" w:color="auto" w:fill="FFFFFF"/>
          <w:lang w:val="en-US" w:eastAsia="zh-CN"/>
        </w:rPr>
        <w:t>5、16、17、18、19表均为空。</w:t>
      </w:r>
    </w:p>
    <w:p>
      <w:pPr>
        <w:numPr>
          <w:ilvl w:val="0"/>
          <w:numId w:val="1"/>
        </w:num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收入预算：</w:t>
      </w:r>
      <w:r>
        <w:rPr>
          <w:rFonts w:hint="eastAsia" w:ascii="仿宋_GB2312" w:hAnsi="仿宋_GB2312" w:eastAsia="仿宋_GB2312" w:cs="仿宋_GB2312"/>
          <w:color w:val="000000"/>
          <w:sz w:val="32"/>
          <w:szCs w:val="32"/>
          <w:shd w:val="clear" w:color="auto" w:fill="FFFFFF"/>
          <w:lang w:val="en-US" w:eastAsia="zh-CN"/>
        </w:rPr>
        <w:t>包括一般公共预算、政府性基金、国有资本经营预算等财政拨款收入，以及经营收入、事业收入等单位资金。2024年本单位收入预算207.62万元，其中，一般公共预算拨款207.62万元，政府性基金预算资金0.00万元(所以</w:t>
      </w:r>
      <w:r>
        <w:rPr>
          <w:rFonts w:hint="eastAsia" w:ascii="仿宋_GB2312" w:hAnsi="仿宋_GB2312" w:eastAsia="仿宋_GB2312" w:cs="仿宋_GB2312"/>
          <w:color w:val="000000"/>
          <w:sz w:val="32"/>
          <w:szCs w:val="32"/>
          <w:highlight w:val="none"/>
          <w:shd w:val="clear" w:color="auto" w:fill="FFFFFF"/>
          <w:lang w:val="en-US" w:eastAsia="zh-CN"/>
        </w:rPr>
        <w:t>部门预算公开表15-17表为空)，国有资本经营预算资金0.00万元(所以部门预算公开表18表为空)，财政专户管理资金0.00万元(所以部门预算公开表19表为</w:t>
      </w:r>
      <w:r>
        <w:rPr>
          <w:rFonts w:hint="eastAsia" w:ascii="仿宋_GB2312" w:hAnsi="仿宋_GB2312" w:eastAsia="仿宋_GB2312" w:cs="仿宋_GB2312"/>
          <w:color w:val="000000"/>
          <w:sz w:val="32"/>
          <w:szCs w:val="32"/>
          <w:shd w:val="clear" w:color="auto" w:fill="FFFFFF"/>
          <w:lang w:val="en-US" w:eastAsia="zh-CN"/>
        </w:rPr>
        <w:t>空)，上级补助收入资金0.00万元，事业单位经营收入资金0.00万元，上年结转结余0.00万元。收入较上年减少27.66万元，下降11.76%。主要原因是2024年2名退休人员纳入财政局，严格落实“过紧日子”的要求业务工作经费下调及因人员变动同时人员经费减少,从而导致本单位预算收入减少。</w:t>
      </w:r>
    </w:p>
    <w:p>
      <w:pPr>
        <w:pStyle w:val="2"/>
        <w:numPr>
          <w:ilvl w:val="0"/>
          <w:numId w:val="0"/>
        </w:numPr>
        <w:rPr>
          <w:rFonts w:hint="eastAsia"/>
          <w:lang w:val="en-US" w:eastAsia="zh-CN"/>
        </w:rPr>
      </w:pPr>
      <w:r>
        <w:drawing>
          <wp:inline distT="0" distB="0" distL="114300" distR="114300">
            <wp:extent cx="4886325" cy="2667000"/>
            <wp:effectExtent l="6350" t="6350" r="22225" b="12700"/>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p>
      <w:pPr>
        <w:pStyle w:val="2"/>
        <w:numPr>
          <w:ilvl w:val="0"/>
          <w:numId w:val="0"/>
        </w:numPr>
        <w:rPr>
          <w:rFonts w:hint="eastAsia"/>
          <w:lang w:val="en-US" w:eastAsia="zh-CN"/>
        </w:rPr>
      </w:pPr>
    </w:p>
    <w:p>
      <w:pPr>
        <w:numPr>
          <w:ilvl w:val="0"/>
          <w:numId w:val="1"/>
        </w:num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支出预算：</w:t>
      </w:r>
      <w:r>
        <w:rPr>
          <w:rFonts w:hint="eastAsia" w:ascii="仿宋_GB2312" w:hAnsi="仿宋_GB2312" w:eastAsia="仿宋_GB2312" w:cs="仿宋_GB2312"/>
          <w:color w:val="000000"/>
          <w:sz w:val="32"/>
          <w:szCs w:val="32"/>
          <w:shd w:val="clear" w:color="auto" w:fill="FFFFFF"/>
          <w:lang w:val="en-US" w:eastAsia="zh-CN"/>
        </w:rPr>
        <w:t>2024年本单位支出预算207.62万元，其中：一般公共服务支出174.5万元，社会保障和就业支出15.27万元，卫生健康支出6.65万元，住房保障支出11.2万元。支出较上年减少27.66万元，上升下降11.76%。主要原因是2024年2名退休人员纳入财政局，严格落实“过紧日子”的要求业务工作经费下调及因人员变动同时人员经费减少,从而导致本单位预算支出减少。</w:t>
      </w:r>
    </w:p>
    <w:p>
      <w:pPr>
        <w:pStyle w:val="2"/>
        <w:numPr>
          <w:ilvl w:val="0"/>
          <w:numId w:val="0"/>
        </w:numPr>
        <w:rPr>
          <w:rFonts w:hint="eastAsia"/>
          <w:lang w:val="en-US" w:eastAsia="zh-CN"/>
        </w:rPr>
      </w:pPr>
      <w:r>
        <w:drawing>
          <wp:inline distT="0" distB="0" distL="114300" distR="114300">
            <wp:extent cx="4826000" cy="3723640"/>
            <wp:effectExtent l="5080" t="4445" r="7620" b="5715"/>
            <wp:docPr id="1" name="图表 1" descr="7b0a202020202263686172745265734964223a20223230343730393037220a7d0a"/>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Pr>
        <w:ind w:firstLine="643" w:firstLineChars="200"/>
        <w:rPr>
          <w:rFonts w:hint="eastAsia" w:ascii="Times New Roman" w:hAnsi="Times New Roman" w:eastAsia="黑体" w:cs="Times New Roman"/>
          <w:b/>
          <w:bCs/>
          <w:kern w:val="0"/>
          <w:sz w:val="32"/>
          <w:szCs w:val="32"/>
          <w:lang w:val="en-US" w:eastAsia="zh-CN"/>
        </w:rPr>
      </w:pPr>
      <w:r>
        <w:rPr>
          <w:rFonts w:hint="eastAsia" w:ascii="Times New Roman" w:hAnsi="Times New Roman" w:eastAsia="黑体" w:cs="Times New Roman"/>
          <w:b/>
          <w:bCs/>
          <w:kern w:val="0"/>
          <w:sz w:val="32"/>
          <w:szCs w:val="32"/>
          <w:lang w:val="en-US" w:eastAsia="zh-CN"/>
        </w:rPr>
        <w:t>四、一般公共预算拨款支出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2024年本单位一般公共预算拨款支出207.62万元，其中：一般公共服务支出174.5万元，占84.05%；社会保障和就业支出15.27万元，占7.35%；卫生健康支出6.65万元，占3.2%；住房保障支出11.2万元，占5.4%。具体安排情况如下：</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（一）基本支出：</w:t>
      </w:r>
      <w:r>
        <w:rPr>
          <w:rFonts w:hint="eastAsia" w:ascii="仿宋_GB2312" w:hAnsi="仿宋_GB2312" w:eastAsia="仿宋_GB2312" w:cs="仿宋_GB2312"/>
          <w:color w:val="000000"/>
          <w:sz w:val="32"/>
          <w:szCs w:val="32"/>
          <w:shd w:val="clear" w:color="auto" w:fill="FFFFFF"/>
          <w:lang w:val="en-US" w:eastAsia="zh-CN"/>
        </w:rPr>
        <w:t>2024年本单位基本支出预算数145.7万元，主要是为保障单位正常运转、完成日常工作任务而发生的各项支出，包括用于基本工资、津贴补贴等人员经费以及办公费、印刷费、水电费、办公设备购置等公用经费。</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（二）项目支出：</w:t>
      </w:r>
      <w:r>
        <w:rPr>
          <w:rFonts w:hint="eastAsia" w:ascii="仿宋_GB2312" w:hAnsi="仿宋_GB2312" w:eastAsia="仿宋_GB2312" w:cs="仿宋_GB2312"/>
          <w:color w:val="000000"/>
          <w:sz w:val="32"/>
          <w:szCs w:val="32"/>
          <w:shd w:val="clear" w:color="auto" w:fill="FFFFFF"/>
          <w:lang w:val="en-US" w:eastAsia="zh-CN"/>
        </w:rPr>
        <w:t>2024年本单位项目支出预算61.92万元，主要是本单位为完成特定工作任务或事业发展目标而发生的支出，包括有关事业发展专项、专项业务费、基本建设支出等，其中：一般公共服务支出61.92万元，主要用于国库集中支付及维护、国库集中支付电路租赁费和业务工作经费。</w:t>
      </w:r>
    </w:p>
    <w:p>
      <w:pPr>
        <w:ind w:firstLine="643" w:firstLineChars="200"/>
        <w:rPr>
          <w:rFonts w:hint="eastAsia" w:asciiTheme="minorEastAsia" w:hAnsiTheme="minorEastAsia" w:eastAsiaTheme="minorEastAsia" w:cstheme="minorEastAsia"/>
          <w:b/>
          <w:bCs/>
          <w:sz w:val="28"/>
          <w:szCs w:val="28"/>
        </w:rPr>
      </w:pPr>
      <w:r>
        <w:rPr>
          <w:rFonts w:hint="eastAsia" w:ascii="Times New Roman" w:hAnsi="Times New Roman" w:eastAsia="黑体" w:cs="Times New Roman"/>
          <w:b/>
          <w:bCs/>
          <w:kern w:val="0"/>
          <w:sz w:val="32"/>
          <w:szCs w:val="32"/>
          <w:lang w:val="en-US" w:eastAsia="zh-CN"/>
        </w:rPr>
        <w:t>五、政府性基金预算支出</w:t>
      </w:r>
    </w:p>
    <w:p>
      <w:pPr>
        <w:ind w:firstLine="640" w:firstLineChars="200"/>
        <w:rPr>
          <w:rFonts w:hint="eastAsia" w:asciiTheme="minorEastAsia" w:hAnsiTheme="minorEastAsia" w:eastAsiaTheme="minorEastAsia" w:cstheme="minorEastAsia"/>
          <w:i w:val="0"/>
          <w:iCs w:val="0"/>
          <w:caps w:val="0"/>
          <w:color w:val="333333"/>
          <w:spacing w:val="0"/>
          <w:sz w:val="28"/>
          <w:szCs w:val="28"/>
          <w:shd w:val="clear" w:fill="FFFFFF"/>
        </w:rPr>
      </w:pPr>
      <w:r>
        <w:rPr>
          <w:rFonts w:hint="eastAsia" w:ascii="仿宋_GB2312" w:hAnsi="仿宋_GB2312" w:eastAsia="仿宋_GB2312" w:cs="仿宋_GB2312"/>
          <w:color w:val="000000"/>
          <w:sz w:val="32"/>
          <w:szCs w:val="32"/>
          <w:shd w:val="clear" w:color="auto" w:fill="FFFFFF"/>
          <w:lang w:val="en-US" w:eastAsia="zh-CN"/>
        </w:rPr>
        <w:t>2024年度本单位无政府性基金安排的支出，所以公开的附件15-17（政府性基金预算）为空。</w:t>
      </w:r>
    </w:p>
    <w:p>
      <w:pPr>
        <w:ind w:firstLine="643" w:firstLineChars="200"/>
        <w:rPr>
          <w:rFonts w:hint="eastAsia" w:asciiTheme="minorEastAsia" w:hAnsiTheme="minorEastAsia" w:eastAsiaTheme="minorEastAsia" w:cstheme="minorEastAsia"/>
          <w:b/>
          <w:bCs/>
          <w:sz w:val="28"/>
          <w:szCs w:val="28"/>
        </w:rPr>
      </w:pPr>
      <w:r>
        <w:rPr>
          <w:rFonts w:hint="eastAsia" w:ascii="Times New Roman" w:hAnsi="Times New Roman" w:eastAsia="黑体" w:cs="Times New Roman"/>
          <w:b/>
          <w:bCs/>
          <w:kern w:val="0"/>
          <w:sz w:val="32"/>
          <w:szCs w:val="32"/>
          <w:lang w:val="en-US" w:eastAsia="zh-CN"/>
        </w:rPr>
        <w:t>六、其他重要事项的情况说明</w:t>
      </w:r>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（一）机关运行经费：</w:t>
      </w:r>
      <w:r>
        <w:rPr>
          <w:rFonts w:hint="eastAsia" w:ascii="仿宋_GB2312" w:hAnsi="仿宋_GB2312" w:eastAsia="仿宋_GB2312" w:cs="仿宋_GB2312"/>
          <w:color w:val="000000"/>
          <w:sz w:val="32"/>
          <w:szCs w:val="32"/>
          <w:shd w:val="clear" w:color="auto" w:fill="FFFFFF"/>
          <w:lang w:val="en-US" w:eastAsia="zh-CN"/>
        </w:rPr>
        <w:t>2024年岳阳市君山区国库集中支付核算中心机关运行经费19.26万元，比上年预算下降21.26%。主要原因</w:t>
      </w:r>
      <w:r>
        <w:rPr>
          <w:rFonts w:hint="eastAsia" w:ascii="仿宋_GB2312" w:hAnsi="仿宋_GB2312" w:eastAsia="仿宋_GB2312" w:cs="仿宋_GB2312"/>
          <w:color w:val="000000"/>
          <w:sz w:val="32"/>
          <w:szCs w:val="32"/>
          <w:highlight w:val="none"/>
          <w:shd w:val="clear" w:color="auto" w:fill="FFFFFF"/>
          <w:lang w:val="en-US" w:eastAsia="zh-CN"/>
        </w:rPr>
        <w:t>是2024年人员变动造</w:t>
      </w:r>
      <w:r>
        <w:rPr>
          <w:rFonts w:hint="eastAsia" w:ascii="仿宋_GB2312" w:hAnsi="仿宋_GB2312" w:eastAsia="仿宋_GB2312" w:cs="仿宋_GB2312"/>
          <w:color w:val="000000"/>
          <w:sz w:val="32"/>
          <w:szCs w:val="32"/>
          <w:shd w:val="clear" w:color="auto" w:fill="FFFFFF"/>
          <w:lang w:val="en-US" w:eastAsia="zh-CN"/>
        </w:rPr>
        <w:t>成公用经费预算减少。</w:t>
      </w:r>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（二）“三公”经费预算：</w:t>
      </w:r>
      <w:r>
        <w:rPr>
          <w:rFonts w:hint="eastAsia" w:ascii="仿宋_GB2312" w:hAnsi="仿宋_GB2312" w:eastAsia="仿宋_GB2312" w:cs="仿宋_GB2312"/>
          <w:color w:val="000000"/>
          <w:sz w:val="32"/>
          <w:szCs w:val="32"/>
          <w:shd w:val="clear" w:color="auto" w:fill="FFFFFF"/>
          <w:lang w:val="en-US" w:eastAsia="zh-CN"/>
        </w:rPr>
        <w:t>2024年本单位“三公”经费预算数为1万元，其中，公务接待费1万元，公务用车购置及运行费0万元（其中，公务用车购置费0万元，公务用车运行费0万元），因公出国（境）费0万元。2024年“三公”经费预算较2023年减少0.4万元，主要原因是主要是严格落实中央“八项规定”精神和“过紧日子”的要求，从严控制“三公”经费支出。</w:t>
      </w:r>
      <w:bookmarkStart w:id="1" w:name="END_IS_ZERO_06_2"/>
      <w:bookmarkEnd w:id="1"/>
      <w:bookmarkStart w:id="2" w:name="START_IS_ZERO_06_2"/>
      <w:bookmarkEnd w:id="2"/>
      <w:bookmarkStart w:id="3" w:name="DIS_MARK_IS_ZERO_06_2"/>
      <w:bookmarkEnd w:id="3"/>
      <w:bookmarkStart w:id="4" w:name="END_IS_ZERO_06_1"/>
      <w:bookmarkEnd w:id="4"/>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（三）一般性支出情况：</w:t>
      </w:r>
      <w:r>
        <w:rPr>
          <w:rFonts w:hint="eastAsia" w:ascii="仿宋_GB2312" w:hAnsi="仿宋_GB2312" w:eastAsia="仿宋_GB2312" w:cs="仿宋_GB2312"/>
          <w:color w:val="000000"/>
          <w:sz w:val="32"/>
          <w:szCs w:val="32"/>
          <w:shd w:val="clear" w:color="auto" w:fill="FFFFFF"/>
          <w:lang w:val="en-US" w:eastAsia="zh-CN"/>
        </w:rPr>
        <w:t>2024年本单位会议费预算0万元，拟召开0次会议，人数0人；培训费预算0万元，拟开展0次培训，人数0人；</w:t>
      </w:r>
      <w:r>
        <w:rPr>
          <w:rFonts w:hint="eastAsia" w:ascii="仿宋_GB2312" w:hAnsi="仿宋_GB2312" w:eastAsia="仿宋_GB2312" w:cs="仿宋_GB2312"/>
          <w:color w:val="000000"/>
          <w:kern w:val="2"/>
          <w:sz w:val="32"/>
          <w:szCs w:val="32"/>
          <w:shd w:val="clear" w:color="auto" w:fill="FFFFFF"/>
          <w:lang w:val="en-US" w:eastAsia="zh-CN" w:bidi="ar-SA"/>
        </w:rPr>
        <w:t>2024年度本</w:t>
      </w:r>
      <w:r>
        <w:rPr>
          <w:rFonts w:hint="eastAsia" w:ascii="仿宋_GB2312" w:hAnsi="仿宋_GB2312" w:eastAsia="仿宋_GB2312" w:cs="仿宋_GB2312"/>
          <w:color w:val="000000"/>
          <w:kern w:val="2"/>
          <w:sz w:val="36"/>
          <w:szCs w:val="36"/>
          <w:shd w:val="clear" w:color="auto" w:fill="FFFFFF"/>
          <w:lang w:val="en-US" w:eastAsia="zh-CN" w:bidi="ar-SA"/>
        </w:rPr>
        <w:t>部门</w:t>
      </w:r>
      <w:r>
        <w:rPr>
          <w:rFonts w:hint="eastAsia" w:ascii="仿宋_GB2312" w:hAnsi="仿宋_GB2312" w:eastAsia="仿宋_GB2312" w:cs="仿宋_GB2312"/>
          <w:color w:val="000000"/>
          <w:kern w:val="2"/>
          <w:sz w:val="32"/>
          <w:szCs w:val="32"/>
          <w:shd w:val="clear" w:color="auto" w:fill="FFFFFF"/>
          <w:lang w:val="en-US" w:eastAsia="zh-CN" w:bidi="ar-SA"/>
        </w:rPr>
        <w:t>未计划举办节庆、晚会、论坛、赛事活动，经费预算0万元。</w:t>
      </w:r>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（四）政府采购情况：</w:t>
      </w:r>
      <w:r>
        <w:rPr>
          <w:rFonts w:hint="eastAsia" w:ascii="仿宋_GB2312" w:hAnsi="仿宋_GB2312" w:eastAsia="仿宋_GB2312" w:cs="仿宋_GB2312"/>
          <w:color w:val="000000"/>
          <w:sz w:val="32"/>
          <w:szCs w:val="32"/>
          <w:shd w:val="clear" w:color="auto" w:fill="FFFFFF"/>
          <w:lang w:val="en-US" w:eastAsia="zh-CN"/>
        </w:rPr>
        <w:t>2024年本单位政府采购预算总额83.1万元，其中，货物类采购预算30万元；工程类采购预算0万元；服务类采购预算53.1万元。</w:t>
      </w:r>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（五）国有资产占用使用及新增资产配置情况：</w:t>
      </w:r>
      <w:r>
        <w:rPr>
          <w:rFonts w:hint="eastAsia" w:ascii="仿宋_GB2312" w:hAnsi="仿宋_GB2312" w:eastAsia="仿宋_GB2312" w:cs="仿宋_GB2312"/>
          <w:color w:val="000000"/>
          <w:sz w:val="32"/>
          <w:szCs w:val="32"/>
          <w:shd w:val="clear" w:color="auto" w:fill="FFFFFF"/>
          <w:lang w:val="en-US" w:eastAsia="zh-CN"/>
        </w:rPr>
        <w:t>截至2023年12月底，本单位共有公务用车0辆，其中，机要通信用车0辆，应急保障用车0辆，执法执勤用车0辆，特种专业技术用车0辆，其他按照规定配备的公务用车0辆；单位价值50万元以上设备0台，其中，单位价值100万元以上设备0台。</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2024年拟新增配置公务用车0辆，其中，机要通信用车0辆，应急保障用车0辆，执法执勤</w:t>
      </w:r>
      <w:r>
        <w:rPr>
          <w:rFonts w:hint="eastAsia" w:ascii="仿宋_GB2312" w:hAnsi="仿宋_GB2312" w:eastAsia="仿宋_GB2312" w:cs="仿宋_GB2312"/>
          <w:color w:val="000000"/>
          <w:sz w:val="32"/>
          <w:szCs w:val="32"/>
          <w:highlight w:val="none"/>
          <w:shd w:val="clear" w:color="auto" w:fill="FFFFFF"/>
          <w:lang w:val="en-US" w:eastAsia="zh-CN"/>
        </w:rPr>
        <w:t>用车0辆，特种专业技术用车0辆，其他按照规定配备的公务用车0辆；新增配备单位价值50万元以上设备0台，其中，单位价值100万元以上设备0台。</w:t>
      </w:r>
    </w:p>
    <w:p>
      <w:pPr>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（六）预算绩效目标说明：</w:t>
      </w:r>
      <w:r>
        <w:rPr>
          <w:rFonts w:hint="eastAsia" w:ascii="仿宋_GB2312" w:hAnsi="仿宋_GB2312" w:eastAsia="仿宋_GB2312" w:cs="仿宋_GB2312"/>
          <w:color w:val="000000"/>
          <w:sz w:val="32"/>
          <w:szCs w:val="32"/>
          <w:highlight w:val="none"/>
          <w:shd w:val="clear" w:color="auto" w:fill="FFFFFF"/>
          <w:lang w:val="en-US" w:eastAsia="zh-CN"/>
        </w:rPr>
        <w:t>本单位所有支出实行绩效目标管理。纳入2024年单位整体支出绩效目标的金额为207.62万元，其中，基本支出145.7万元，项目支出61.92万元，具体绩效目标详见文尾附表中部门预算公开表21-22表。</w:t>
      </w:r>
    </w:p>
    <w:p>
      <w:pPr>
        <w:ind w:firstLine="643" w:firstLineChars="200"/>
        <w:rPr>
          <w:rFonts w:hint="eastAsia" w:ascii="Times New Roman" w:hAnsi="Times New Roman" w:eastAsia="黑体" w:cs="Times New Roman"/>
          <w:b/>
          <w:bCs/>
          <w:kern w:val="0"/>
          <w:sz w:val="32"/>
          <w:szCs w:val="32"/>
          <w:lang w:val="en-US" w:eastAsia="zh-CN"/>
        </w:rPr>
      </w:pPr>
      <w:r>
        <w:rPr>
          <w:rFonts w:hint="eastAsia" w:ascii="Times New Roman" w:hAnsi="Times New Roman" w:eastAsia="黑体" w:cs="Times New Roman"/>
          <w:b/>
          <w:bCs/>
          <w:kern w:val="0"/>
          <w:sz w:val="32"/>
          <w:szCs w:val="32"/>
          <w:lang w:val="en-US" w:eastAsia="zh-CN"/>
        </w:rPr>
        <w:t>七、名词解释</w:t>
      </w:r>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1．机关运行经费：</w:t>
      </w:r>
      <w:r>
        <w:rPr>
          <w:rFonts w:hint="eastAsia" w:ascii="仿宋_GB2312" w:hAnsi="仿宋_GB2312" w:eastAsia="仿宋_GB2312" w:cs="仿宋_GB2312"/>
          <w:color w:val="000000"/>
          <w:sz w:val="32"/>
          <w:szCs w:val="32"/>
          <w:shd w:val="clear" w:color="auto" w:fill="FFFFFF"/>
          <w:lang w:val="en-US" w:eastAsia="zh-CN"/>
        </w:rPr>
        <w:t>是指各部门的公用经费，包括办公及印刷费、邮电费、差旅费、会议费、福利费、日常维修费、专用资料及一般设备购置费、办公用房水电费、办公用房取暖费、办公用房物业管理费、公务用车运行维护费以及其他费用。</w:t>
      </w:r>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2．“三公”经费：</w:t>
      </w:r>
      <w:r>
        <w:rPr>
          <w:rFonts w:hint="eastAsia" w:ascii="仿宋_GB2312" w:hAnsi="仿宋_GB2312" w:eastAsia="仿宋_GB2312" w:cs="仿宋_GB2312"/>
          <w:color w:val="000000"/>
          <w:sz w:val="32"/>
          <w:szCs w:val="32"/>
          <w:shd w:val="clear" w:color="auto" w:fill="FFFFFF"/>
          <w:lang w:val="en-US" w:eastAsia="zh-CN"/>
        </w:rPr>
        <w:t>纳入省（市/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bookmarkStart w:id="5" w:name="_GoBack"/>
      <w:bookmarkEnd w:id="5"/>
      <w:r>
        <w:rPr>
          <w:rFonts w:hint="eastAsia" w:ascii="方正小标宋简体" w:hAnsi="Times New Roman" w:eastAsia="方正小标宋简体" w:cs="Times New Roman"/>
          <w:b/>
          <w:bCs/>
          <w:kern w:val="0"/>
          <w:sz w:val="36"/>
          <w:szCs w:val="36"/>
          <w:lang w:val="en-US" w:eastAsia="zh-CN" w:bidi="ar-SA"/>
        </w:rPr>
        <w:t>第二部分  2024年部门预算公开表格</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1、收支总表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2、收入总表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3、支出总表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4、支出预算分类汇总表（按政府预算经济分类）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5、支出预算分类汇总表（按部门预算经济分类）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6、财政拨款收支总表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7、一般公共预算支出表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8、一般公共预算基本支出表-人员经费（工资福利支出）（按政府预算经济分类）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9、一般公共预算基本支出表-人员经费（工资福利支出）（按部门预算经济分类）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10、一般公共预算基本支出表-人员经费（对个人和家庭的补助）（按政府预算经济分类）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11、一般公共预算基本支出表-人员经费（对个人和家庭的补助）（按部门预算经济分类）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12、一般公共预算基本支出表-公用经费（商品和服务支出）（按政府预算经济分类）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13、一般公共预算基本支出表-公用经费（商品和服务支出）（按部门预算经济分类）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14、一般公共预算“三公”经费支出表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15、政府性基金预算支出表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16、政府性基金预算支出分类汇总表（按政府预算经济分类）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17、政府性基金预算支出分类汇总表（按部门预算经济分类）</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18、国有资本经营预算支出表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19、财政专户管理资金预算支出表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20、专项资金预算汇总表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21、项目支出绩效目标表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22、部门整体支出绩效目标表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23、一般公共预算基本支出表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注：以上部门预算公开报表中，空表表示本单位无相关收支情况。</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p>
    <w:p>
      <w:pPr>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附件：岳阳市君山区国库集中支付核算中心2024年部门预算公开表</w:t>
      </w:r>
    </w:p>
    <w:p>
      <w:pPr>
        <w:ind w:firstLine="640" w:firstLineChars="200"/>
        <w:rPr>
          <w:rFonts w:hint="eastAsia" w:ascii="仿宋_GB2312" w:hAnsi="仿宋_GB2312" w:eastAsia="仿宋_GB2312" w:cs="仿宋_GB2312"/>
          <w:color w:val="000000"/>
          <w:sz w:val="32"/>
          <w:szCs w:val="32"/>
          <w:shd w:val="clear" w:color="auto" w:fill="FFFFFF"/>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仿宋_GB2312"/>
    <w:panose1 w:val="02010601030101010101"/>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7CC3CBB"/>
    <w:multiLevelType w:val="singleLevel"/>
    <w:tmpl w:val="57CC3CBB"/>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0MzkxYTllNGUzYWMwZmMyNjFiNTViYzNiYzdlYTAifQ=="/>
  </w:docVars>
  <w:rsids>
    <w:rsidRoot w:val="637274E6"/>
    <w:rsid w:val="01EC3E90"/>
    <w:rsid w:val="02140C7A"/>
    <w:rsid w:val="046523F8"/>
    <w:rsid w:val="088363E7"/>
    <w:rsid w:val="0AD8381E"/>
    <w:rsid w:val="0B172D74"/>
    <w:rsid w:val="0B5218A1"/>
    <w:rsid w:val="0B653E82"/>
    <w:rsid w:val="0DDF516A"/>
    <w:rsid w:val="0E042561"/>
    <w:rsid w:val="0E511C4A"/>
    <w:rsid w:val="0F2A3A2C"/>
    <w:rsid w:val="0FB70159"/>
    <w:rsid w:val="10797237"/>
    <w:rsid w:val="13617603"/>
    <w:rsid w:val="14A8633C"/>
    <w:rsid w:val="16042156"/>
    <w:rsid w:val="16247C45"/>
    <w:rsid w:val="167C1082"/>
    <w:rsid w:val="17307765"/>
    <w:rsid w:val="18960B52"/>
    <w:rsid w:val="192632E6"/>
    <w:rsid w:val="1B6F1962"/>
    <w:rsid w:val="1C744CBF"/>
    <w:rsid w:val="1C914169"/>
    <w:rsid w:val="1F572E39"/>
    <w:rsid w:val="1F8154A2"/>
    <w:rsid w:val="20034AD4"/>
    <w:rsid w:val="22767EB0"/>
    <w:rsid w:val="22861ED8"/>
    <w:rsid w:val="27562CA6"/>
    <w:rsid w:val="286F1B1C"/>
    <w:rsid w:val="28D728F5"/>
    <w:rsid w:val="2A5727A7"/>
    <w:rsid w:val="2B3247EE"/>
    <w:rsid w:val="2DC518B5"/>
    <w:rsid w:val="2E9372BE"/>
    <w:rsid w:val="30F54535"/>
    <w:rsid w:val="31A9426B"/>
    <w:rsid w:val="328F1D91"/>
    <w:rsid w:val="36214EDF"/>
    <w:rsid w:val="395E7E49"/>
    <w:rsid w:val="398C704B"/>
    <w:rsid w:val="3A486D41"/>
    <w:rsid w:val="3CB10683"/>
    <w:rsid w:val="3E4B1963"/>
    <w:rsid w:val="40354106"/>
    <w:rsid w:val="40731651"/>
    <w:rsid w:val="40BA4B7E"/>
    <w:rsid w:val="42E3660E"/>
    <w:rsid w:val="451430E0"/>
    <w:rsid w:val="4601059C"/>
    <w:rsid w:val="4602087F"/>
    <w:rsid w:val="4748485A"/>
    <w:rsid w:val="47DC2BD4"/>
    <w:rsid w:val="4AFC64BF"/>
    <w:rsid w:val="4BBE358A"/>
    <w:rsid w:val="4E514D65"/>
    <w:rsid w:val="4EE728E7"/>
    <w:rsid w:val="4F0307B2"/>
    <w:rsid w:val="4F302902"/>
    <w:rsid w:val="52077AEA"/>
    <w:rsid w:val="55E76771"/>
    <w:rsid w:val="58AA6296"/>
    <w:rsid w:val="58AF2EC0"/>
    <w:rsid w:val="5A13112F"/>
    <w:rsid w:val="5BC30933"/>
    <w:rsid w:val="5C9C67FF"/>
    <w:rsid w:val="5DC12353"/>
    <w:rsid w:val="60B42209"/>
    <w:rsid w:val="637274E6"/>
    <w:rsid w:val="63E65795"/>
    <w:rsid w:val="65B57FA7"/>
    <w:rsid w:val="675A13CF"/>
    <w:rsid w:val="682C3048"/>
    <w:rsid w:val="6B1B73BC"/>
    <w:rsid w:val="6F4B168B"/>
    <w:rsid w:val="70F118E0"/>
    <w:rsid w:val="71704C61"/>
    <w:rsid w:val="719F6C19"/>
    <w:rsid w:val="72AA478D"/>
    <w:rsid w:val="78CC0C1A"/>
    <w:rsid w:val="7AE949AB"/>
    <w:rsid w:val="7D266D66"/>
    <w:rsid w:val="7E7E59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chart" Target="charts/chart2.xml"/><Relationship Id="rId4" Type="http://schemas.openxmlformats.org/officeDocument/2006/relationships/chart" Target="charts/chart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Administrator\Desktop\Book1.xlsx" TargetMode="External"/></Relationships>
</file>

<file path=word/charts/_rels/chart2.xml.rels><?xml version="1.0" encoding="UTF-8" standalone="yes"?>
<Relationships xmlns="http://schemas.openxmlformats.org/package/2006/relationships"><Relationship Id="rId4" Type="http://schemas.microsoft.com/office/2011/relationships/chartColorStyle" Target="colors1.xml"/><Relationship Id="rId3" Type="http://schemas.microsoft.com/office/2011/relationships/chartStyle" Target="style1.xml"/><Relationship Id="rId2" Type="http://schemas.openxmlformats.org/officeDocument/2006/relationships/themeOverride" Target="../theme/themeOverride1.xml"/><Relationship Id="rId1" Type="http://schemas.openxmlformats.org/officeDocument/2006/relationships/oleObject" Target="file:///C:\Users\Administrator\AppData\Local\Temp\wps.CRACIR\Chart%20in%20Wp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800" b="1" i="0" u="none" strike="noStrike" kern="1200" baseline="0">
                <a:solidFill>
                  <a:schemeClr val="tx1"/>
                </a:solidFill>
                <a:latin typeface="+mn-lt"/>
                <a:ea typeface="+mn-ea"/>
                <a:cs typeface="+mn-cs"/>
              </a:defRPr>
            </a:pPr>
            <a:r>
              <a:t>收入预算图</a:t>
            </a:r>
          </a:p>
        </c:rich>
      </c:tx>
      <c:layout/>
      <c:overlay val="0"/>
    </c:title>
    <c:autoTitleDeleted val="0"/>
    <c:plotArea>
      <c:layout/>
      <c:pieChart>
        <c:varyColors val="1"/>
        <c:ser>
          <c:idx val="0"/>
          <c:order val="0"/>
          <c:explosion val="0"/>
          <c:dPt>
            <c:idx val="0"/>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[Book1.xlsx]Sheet1!$A$6</c:f>
              <c:strCache>
                <c:ptCount val="1"/>
                <c:pt idx="0">
                  <c:v>一般公共预算拨款收入</c:v>
                </c:pt>
              </c:strCache>
            </c:strRef>
          </c:cat>
          <c:val>
            <c:numRef>
              <c:f>[Book1.xlsx]Sheet1!$A$7</c:f>
              <c:numCache>
                <c:formatCode>0%</c:formatCode>
                <c:ptCount val="1"/>
                <c:pt idx="0">
                  <c:v>1</c:v>
                </c:pt>
              </c:numCache>
            </c:numRef>
          </c:val>
        </c:ser>
        <c:dLbls>
          <c:showLegendKey val="0"/>
          <c:showVal val="1"/>
          <c:showCatName val="0"/>
          <c:showSerName val="0"/>
          <c:showPercent val="0"/>
          <c:showBubbleSize val="0"/>
          <c:showLeaderLines val="1"/>
        </c:dLbls>
        <c:firstSliceAng val="0"/>
      </c:pieChart>
    </c:plotArea>
    <c:legend>
      <c:legendPos val="r"/>
      <c:layout>
        <c:manualLayout>
          <c:xMode val="edge"/>
          <c:yMode val="edge"/>
          <c:x val="0.700737532808399"/>
          <c:y val="0.0547878390201225"/>
          <c:w val="0.236068022747157"/>
          <c:h val="0.307090988626422"/>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rPr sz="2000" b="1"/>
              <a:t>支出预算图</a:t>
            </a:r>
            <a:endParaRPr sz="2000" b="1"/>
          </a:p>
          <a:p>
            <a:pPr defTabSz="914400">
              <a:defRPr lang="zh-CN" sz="1400" b="0" i="0" u="none" strike="noStrike" kern="1200" spc="0" baseline="0">
                <a:solidFill>
                  <a:schemeClr val="tx1">
                    <a:lumMod val="65000"/>
                    <a:lumOff val="35000"/>
                  </a:schemeClr>
                </a:solidFill>
                <a:latin typeface="+mn-lt"/>
                <a:ea typeface="+mn-ea"/>
                <a:cs typeface="+mn-cs"/>
              </a:defRPr>
            </a:pPr>
            <a:endParaRPr sz="2000" b="1"/>
          </a:p>
        </c:rich>
      </c:tx>
      <c:layout>
        <c:manualLayout>
          <c:xMode val="edge"/>
          <c:yMode val="edge"/>
          <c:x val="0.360921052631579"/>
          <c:y val="0.0221691678035471"/>
        </c:manualLayout>
      </c:layout>
      <c:overlay val="0"/>
      <c:spPr>
        <a:noFill/>
        <a:ln>
          <a:noFill/>
        </a:ln>
        <a:effectLst/>
      </c:spPr>
    </c:title>
    <c:autoTitleDeleted val="0"/>
    <c:plotArea>
      <c:layout/>
      <c:pieChart>
        <c:varyColors val="1"/>
        <c:ser>
          <c:idx val="0"/>
          <c:order val="0"/>
          <c:tx>
            <c:strRef>
              <c:f>'[Chart in Wps.xlsx]Sheet1'!$B$1</c:f>
              <c:strCache>
                <c:ptCount val="1"/>
                <c:pt idx="0">
                  <c:v>支出预算图</c:v>
                </c:pt>
              </c:strCache>
            </c:strRef>
          </c:tx>
          <c:spPr>
            <a:effectLst>
              <a:outerShdw blurRad="63500" sx="102000" sy="102000" algn="ctr" rotWithShape="0">
                <a:prstClr val="black">
                  <a:alpha val="30000"/>
                </a:prstClr>
              </a:outerShdw>
            </a:effectLst>
          </c:spPr>
          <c:explosion val="0"/>
          <c:dPt>
            <c:idx val="0"/>
            <c:bubble3D val="0"/>
            <c:spPr>
              <a:solidFill>
                <a:schemeClr val="accent1"/>
              </a:solidFill>
              <a:ln w="19050">
                <a:solidFill>
                  <a:schemeClr val="lt1"/>
                </a:solidFill>
              </a:ln>
              <a:effectLst>
                <a:outerShdw blurRad="63500" sx="102000" sy="102000" algn="ctr" rotWithShape="0">
                  <a:prstClr val="black">
                    <a:alpha val="30000"/>
                  </a:prstClr>
                </a:outerShdw>
              </a:effectLst>
            </c:spPr>
          </c:dPt>
          <c:dPt>
            <c:idx val="1"/>
            <c:bubble3D val="0"/>
            <c:spPr>
              <a:solidFill>
                <a:schemeClr val="accent2"/>
              </a:solidFill>
              <a:ln w="19050">
                <a:solidFill>
                  <a:schemeClr val="lt1"/>
                </a:solidFill>
              </a:ln>
              <a:effectLst>
                <a:outerShdw blurRad="63500" sx="102000" sy="102000" algn="ctr" rotWithShape="0">
                  <a:prstClr val="black">
                    <a:alpha val="30000"/>
                  </a:prstClr>
                </a:outerShdw>
              </a:effectLst>
            </c:spPr>
          </c:dPt>
          <c:dPt>
            <c:idx val="2"/>
            <c:bubble3D val="0"/>
            <c:spPr>
              <a:solidFill>
                <a:schemeClr val="accent3"/>
              </a:solidFill>
              <a:ln w="19050">
                <a:solidFill>
                  <a:schemeClr val="lt1"/>
                </a:solidFill>
              </a:ln>
              <a:effectLst>
                <a:outerShdw blurRad="63500" sx="102000" sy="102000" algn="ctr" rotWithShape="0">
                  <a:prstClr val="black">
                    <a:alpha val="30000"/>
                  </a:prstClr>
                </a:outerShdw>
              </a:effectLst>
            </c:spPr>
          </c:dPt>
          <c:dPt>
            <c:idx val="3"/>
            <c:bubble3D val="0"/>
            <c:spPr>
              <a:solidFill>
                <a:schemeClr val="accent4"/>
              </a:solidFill>
              <a:ln w="19050">
                <a:solidFill>
                  <a:schemeClr val="lt1"/>
                </a:solidFill>
              </a:ln>
              <a:effectLst>
                <a:outerShdw blurRad="63500" sx="102000" sy="102000" algn="ctr" rotWithShape="0">
                  <a:prstClr val="black">
                    <a:alpha val="30000"/>
                  </a:prstClr>
                </a:outerShdw>
              </a:effectLst>
            </c:spPr>
          </c:dPt>
          <c:dLbls>
            <c:dLbl>
              <c:idx val="0"/>
              <c:layout>
                <c:manualLayout>
                  <c:x val="-0.0315776592859873"/>
                  <c:y val="-0.159144030583394"/>
                </c:manualLayout>
              </c:layout>
              <c:tx>
                <c:rich>
                  <a:bodyPr rot="0" spcFirstLastPara="0" vertOverflow="ellipsis" vert="horz" wrap="square" lIns="38100" tIns="19050" rIns="38100" bIns="19050" anchor="ctr" anchorCtr="1"/>
                  <a:lstStyle/>
                  <a:p>
                    <a:pPr defTabSz="914400">
                      <a:defRPr lang="zh-CN" sz="1000" b="1" i="0" u="none" strike="noStrike" kern="1200" baseline="0">
                        <a:solidFill>
                          <a:sysClr val="windowText" lastClr="000000"/>
                        </a:solidFill>
                        <a:latin typeface="+mn-lt"/>
                        <a:ea typeface="+mn-ea"/>
                        <a:cs typeface="+mn-cs"/>
                      </a:defRPr>
                    </a:pPr>
                    <a:r>
                      <a:t>84</a:t>
                    </a:r>
                    <a:r>
                      <a:rPr lang="en-US" altLang="zh-CN"/>
                      <a:t>.05</a:t>
                    </a:r>
                    <a:r>
                      <a:t>%</a:t>
                    </a:r>
                  </a:p>
                </c:rich>
              </c:tx>
              <c:dLblPos val="bestFit"/>
              <c:showLegendKey val="0"/>
              <c:showVal val="0"/>
              <c:showCatName val="0"/>
              <c:showSerName val="0"/>
              <c:showPercent val="1"/>
              <c:showBubbleSize val="0"/>
              <c:extLst>
                <c:ext xmlns:c15="http://schemas.microsoft.com/office/drawing/2012/chart" uri="{CE6537A1-D6FC-4f65-9D91-7224C49458BB}">
                  <c15:layout/>
                </c:ext>
              </c:extLst>
            </c:dLbl>
            <c:dLbl>
              <c:idx val="1"/>
              <c:layout>
                <c:manualLayout>
                  <c:x val="-0.0209464393169479"/>
                  <c:y val="0.00922323850620949"/>
                </c:manualLayout>
              </c:layout>
              <c:tx>
                <c:rich>
                  <a:bodyPr rot="0" spcFirstLastPara="0" vertOverflow="ellipsis" vert="horz" wrap="square" lIns="38100" tIns="19050" rIns="38100" bIns="19050" anchor="ctr" anchorCtr="1" forceAA="0"/>
                  <a:lstStyle/>
                  <a:p>
                    <a:pPr defTabSz="914400">
                      <a:defRPr lang="zh-CN" sz="1000" b="1" i="0" u="none" strike="noStrike" kern="1200" baseline="0">
                        <a:solidFill>
                          <a:sysClr val="windowText" lastClr="000000"/>
                        </a:solidFill>
                        <a:latin typeface="+mn-lt"/>
                        <a:ea typeface="+mn-ea"/>
                        <a:cs typeface="+mn-cs"/>
                      </a:defRPr>
                    </a:pPr>
                    <a:r>
                      <a:rPr>
                        <a:solidFill>
                          <a:sysClr val="windowText" lastClr="000000"/>
                        </a:solidFill>
                      </a:rPr>
                      <a:t>7</a:t>
                    </a:r>
                    <a:r>
                      <a:rPr lang="en-US" altLang="zh-CN">
                        <a:solidFill>
                          <a:sysClr val="windowText" lastClr="000000"/>
                        </a:solidFill>
                      </a:rPr>
                      <a:t>.35</a:t>
                    </a:r>
                    <a:r>
                      <a:rPr>
                        <a:solidFill>
                          <a:sysClr val="windowText" lastClr="000000"/>
                        </a:solidFill>
                      </a:rPr>
                      <a:t>%</a:t>
                    </a:r>
                    <a:endParaRPr>
                      <a:solidFill>
                        <a:sysClr val="windowText" lastClr="000000"/>
                      </a:solidFill>
                    </a:endParaRPr>
                  </a:p>
                </c:rich>
              </c:tx>
              <c:numFmt formatCode="General" sourceLinked="1"/>
              <c:spPr>
                <a:noFill/>
                <a:ln>
                  <a:solidFill>
                    <a:srgbClr val="5B9BD5"/>
                  </a:solidFill>
                </a:ln>
                <a:effectLst/>
              </c:spPr>
              <c:txPr>
                <a:bodyPr rot="0" spcFirstLastPara="0" vertOverflow="ellipsis" vert="horz" wrap="square" lIns="38100" tIns="19050" rIns="38100" bIns="19050" anchor="ctr" anchorCtr="1" forceAA="0"/>
                <a:lstStyle/>
                <a:p>
                  <a:pPr>
                    <a:defRPr lang="zh-CN" sz="1000" b="1" i="0" u="none" strike="noStrike" kern="1200" baseline="0">
                      <a:solidFill>
                        <a:sysClr val="windowText" lastClr="000000"/>
                      </a:solidFill>
                      <a:latin typeface="+mn-lt"/>
                      <a:ea typeface="+mn-ea"/>
                      <a:cs typeface="+mn-cs"/>
                    </a:defRPr>
                  </a:pPr>
                </a:p>
              </c:txPr>
              <c:dLblPos val="bestFit"/>
              <c:showLegendKey val="0"/>
              <c:showVal val="0"/>
              <c:showCatName val="0"/>
              <c:showSerName val="0"/>
              <c:showPercent val="1"/>
              <c:showBubbleSize val="0"/>
              <c:extLst>
                <c:ext xmlns:c15="http://schemas.microsoft.com/office/drawing/2012/chart" uri="{CE6537A1-D6FC-4f65-9D91-7224C49458BB}">
                  <c15:layout/>
                </c:ext>
              </c:extLst>
            </c:dLbl>
            <c:dLbl>
              <c:idx val="2"/>
              <c:layout>
                <c:manualLayout>
                  <c:x val="-0.0135823202820876"/>
                  <c:y val="-0.025169746366823"/>
                </c:manualLayout>
              </c:layout>
              <c:tx>
                <c:rich>
                  <a:bodyPr rot="0" spcFirstLastPara="0" vertOverflow="ellipsis" vert="horz" wrap="square" lIns="38100" tIns="19050" rIns="38100" bIns="19050" anchor="ctr" anchorCtr="1"/>
                  <a:lstStyle/>
                  <a:p>
                    <a:pPr defTabSz="914400">
                      <a:defRPr lang="zh-CN" sz="1000" b="1" i="0" u="none" strike="noStrike" kern="1200" baseline="0">
                        <a:solidFill>
                          <a:sysClr val="windowText" lastClr="000000"/>
                        </a:solidFill>
                        <a:latin typeface="+mn-lt"/>
                        <a:ea typeface="+mn-ea"/>
                        <a:cs typeface="+mn-cs"/>
                      </a:defRPr>
                    </a:pPr>
                    <a:r>
                      <a:t>3</a:t>
                    </a:r>
                    <a:r>
                      <a:rPr lang="en-US" altLang="zh-CN"/>
                      <a:t>.2</a:t>
                    </a:r>
                    <a:r>
                      <a:t>%</a:t>
                    </a:r>
                  </a:p>
                </c:rich>
              </c:tx>
              <c:dLblPos val="bestFit"/>
              <c:showLegendKey val="0"/>
              <c:showVal val="0"/>
              <c:showCatName val="0"/>
              <c:showSerName val="0"/>
              <c:showPercent val="1"/>
              <c:showBubbleSize val="0"/>
              <c:extLst>
                <c:ext xmlns:c15="http://schemas.microsoft.com/office/drawing/2012/chart" uri="{CE6537A1-D6FC-4f65-9D91-7224C49458BB}">
                  <c15:layout/>
                </c:ext>
              </c:extLst>
            </c:dLbl>
            <c:dLbl>
              <c:idx val="3"/>
              <c:layout>
                <c:manualLayout>
                  <c:x val="0.0105092401098281"/>
                  <c:y val="-0.0236814659622042"/>
                </c:manualLayout>
              </c:layout>
              <c:tx>
                <c:rich>
                  <a:bodyPr rot="0" spcFirstLastPara="0" vertOverflow="ellipsis" vert="horz" wrap="square" lIns="38100" tIns="19050" rIns="38100" bIns="19050" anchor="ctr" anchorCtr="1"/>
                  <a:lstStyle/>
                  <a:p>
                    <a:pPr defTabSz="914400">
                      <a:defRPr lang="zh-CN" sz="1000" b="1" i="0" u="none" strike="noStrike" kern="1200" baseline="0">
                        <a:solidFill>
                          <a:sysClr val="windowText" lastClr="000000"/>
                        </a:solidFill>
                        <a:latin typeface="+mn-lt"/>
                        <a:ea typeface="+mn-ea"/>
                        <a:cs typeface="+mn-cs"/>
                      </a:defRPr>
                    </a:pPr>
                    <a:r>
                      <a:rPr lang="en-US" altLang="zh-CN"/>
                      <a:t>5.4</a:t>
                    </a:r>
                    <a:r>
                      <a:t>%</a:t>
                    </a:r>
                  </a:p>
                </c:rich>
              </c:tx>
              <c:dLblPos val="bestFit"/>
              <c:showLegendKey val="0"/>
              <c:showVal val="0"/>
              <c:showCatName val="0"/>
              <c:showSerName val="0"/>
              <c:showPercent val="1"/>
              <c:showBubbleSize val="0"/>
              <c:extLst>
                <c:ext xmlns:c15="http://schemas.microsoft.com/office/drawing/2012/chart" uri="{CE6537A1-D6FC-4f65-9D91-7224C49458BB}">
                  <c15:layout/>
                </c:ext>
              </c:extLst>
            </c:dLbl>
            <c:numFmt formatCode="General" sourceLinked="1"/>
            <c:spPr>
              <a:noFill/>
              <a:ln>
                <a:solidFill>
                  <a:srgbClr val="5B9BD5"/>
                </a:solidFill>
              </a:ln>
              <a:effectLst/>
            </c:spPr>
            <c:txPr>
              <a:bodyPr rot="0" spcFirstLastPara="0" vertOverflow="ellipsis" vert="horz" wrap="square" lIns="38100" tIns="19050" rIns="38100" bIns="19050" anchor="ctr" anchorCtr="1" forceAA="0"/>
              <a:lstStyle/>
              <a:p>
                <a:pPr>
                  <a:defRPr lang="zh-CN" sz="1000" b="1" i="0" u="none" strike="noStrike" kern="1200" baseline="0">
                    <a:solidFill>
                      <a:sysClr val="windowText" lastClr="000000"/>
                    </a:solidFill>
                    <a:latin typeface="+mn-lt"/>
                    <a:ea typeface="+mn-ea"/>
                    <a:cs typeface="+mn-cs"/>
                  </a:defRPr>
                </a:pPr>
              </a:p>
            </c:txPr>
            <c:dLblPos val="inEnd"/>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in Wps.xlsx]Sheet1'!$A$2:$A$5</c:f>
              <c:strCache>
                <c:ptCount val="4"/>
                <c:pt idx="0">
                  <c:v>一般公共服务支出</c:v>
                </c:pt>
                <c:pt idx="1">
                  <c:v>社会保障和就业支出</c:v>
                </c:pt>
                <c:pt idx="2">
                  <c:v>卫生健康支出</c:v>
                </c:pt>
                <c:pt idx="3">
                  <c:v>住房保障支出</c:v>
                </c:pt>
              </c:strCache>
            </c:strRef>
          </c:cat>
          <c:val>
            <c:numRef>
              <c:f>'[Chart in Wps.xlsx]Sheet1'!$B$2:$B$5</c:f>
              <c:numCache>
                <c:formatCode>General</c:formatCode>
                <c:ptCount val="4"/>
                <c:pt idx="0">
                  <c:v>84.05</c:v>
                </c:pt>
                <c:pt idx="1">
                  <c:v>7.35</c:v>
                </c:pt>
                <c:pt idx="2">
                  <c:v>3.2</c:v>
                </c:pt>
                <c:pt idx="3">
                  <c:v>5.4</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forceAA="0"/>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word/theme/themeOverride1.xml><?xml version="1.0" encoding="utf-8"?>
<a:themeOverride xmlns:a="http://schemas.openxmlformats.org/drawingml/2006/main">
  <a:clrScheme name="自定义 754">
    <a:dk1>
      <a:srgbClr val="000000"/>
    </a:dk1>
    <a:lt1>
      <a:srgbClr val="FFFFFF"/>
    </a:lt1>
    <a:dk2>
      <a:srgbClr val="0C0E1F"/>
    </a:dk2>
    <a:lt2>
      <a:srgbClr val="FEFFFF"/>
    </a:lt2>
    <a:accent1>
      <a:srgbClr val="04CD9E"/>
    </a:accent1>
    <a:accent2>
      <a:srgbClr val="80E214"/>
    </a:accent2>
    <a:accent3>
      <a:srgbClr val="119FBE"/>
    </a:accent3>
    <a:accent4>
      <a:srgbClr val="EBC279"/>
    </a:accent4>
    <a:accent5>
      <a:srgbClr val="F95F5F"/>
    </a:accent5>
    <a:accent6>
      <a:srgbClr val="A15CFF"/>
    </a:accent6>
    <a:hlink>
      <a:srgbClr val="304FFE"/>
    </a:hlink>
    <a:folHlink>
      <a:srgbClr val="492067"/>
    </a:folHlink>
  </a:clrScheme>
  <a:fontScheme name="自定义 2">
    <a:majorFont>
      <a:latin typeface="微软雅黑"/>
      <a:ea typeface="微软雅黑"/>
      <a:cs typeface=""/>
    </a:majorFont>
    <a:minorFont>
      <a:latin typeface="微软雅黑"/>
      <a:ea typeface="微软雅黑"/>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3621</Words>
  <Characters>3911</Characters>
  <Lines>0</Lines>
  <Paragraphs>0</Paragraphs>
  <TotalTime>4</TotalTime>
  <ScaleCrop>false</ScaleCrop>
  <LinksUpToDate>false</LinksUpToDate>
  <CharactersWithSpaces>3917</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2024-05-22T14:39:00Z</dcterms:created>
  <dc:creator>dell</dc:creator>
  <cp:lastModifiedBy>Administrator</cp:lastModifiedBy>
  <dcterms:modified xsi:type="dcterms:W3CDTF">2024-06-22T15:19:11Z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2A58DF1411C042B6A03F0B99ED1895A2_13</vt:lpwstr>
  </property>
</Properties>
</file>