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岳阳市君山区卫生健康局</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lang w:val="en-US" w:eastAsia="zh-CN"/>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Theme="minorEastAsia" w:hAnsiTheme="minorEastAsia" w:eastAsiaTheme="minorEastAsia" w:cstheme="minorEastAsia"/>
          <w:sz w:val="28"/>
          <w:szCs w:val="28"/>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hint="eastAsia" w:ascii="Times New Roman" w:hAnsi="Times New Roman" w:eastAsia="黑体" w:cs="Times New Roman"/>
          <w:b/>
          <w:bCs/>
          <w:kern w:val="0"/>
          <w:sz w:val="32"/>
          <w:szCs w:val="32"/>
        </w:rPr>
      </w:pP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（一）职能职责</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承担制定全区卫生事业战略目标和发展规划，协调全区卫生资源配置；主管全区人口与计划生育工作；实施农村卫生、妇幼卫生工作规划和政策措施；拟定并组织实施血吸虫病防治规划；组织对重大疾病的综合防治，依法监督管理传染病、地方病、职业病防治；依法监督管理采供血及临床用血质量。</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（二）机构设置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leftChars="10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岳阳市君山区卫生健康局内设机构11个，事业单位17个。内设机构包括：办公室、政工人事股、计划财务股、疾病预防控制与职业健康股、医政药政股、基层卫生健康股、妇幼健康与中医药管理股、法规与综合监督股、人口监测与家庭发展股、爱卫办、血防办等11个股室。事业单位包括：区卫生计生综合监督执法局、区疾病预防控制中心、区妇幼保健院、区君山血防站、区广兴洲血防站、区钱粮湖血防站、区卫生计生基层财务核算中心、区人民医院、区中医医院、区计划生育协会、区精神病医院、区柳林第一社区服务中心、区柳林第二社区服务中心、区广兴洲镇卫生院、区许市镇卫生院、区钱粮湖镇卫生院、区良心堡镇卫生院。</w:t>
      </w:r>
    </w:p>
    <w:p>
      <w:pPr>
        <w:ind w:firstLine="643" w:firstLineChars="200"/>
        <w:rPr>
          <w:rFonts w:hint="eastAsia" w:ascii="Times New Roman" w:hAnsi="Times New Roman" w:eastAsia="黑体" w:cs="Times New Roman"/>
          <w:b/>
          <w:bCs/>
          <w:kern w:val="0"/>
          <w:sz w:val="32"/>
          <w:szCs w:val="32"/>
          <w:highlight w:val="none"/>
        </w:rPr>
      </w:pPr>
      <w:r>
        <w:rPr>
          <w:rFonts w:hint="eastAsia" w:ascii="Times New Roman" w:hAnsi="Times New Roman" w:eastAsia="黑体" w:cs="Times New Roman"/>
          <w:b/>
          <w:bCs/>
          <w:kern w:val="0"/>
          <w:sz w:val="32"/>
          <w:szCs w:val="32"/>
          <w:highlight w:val="none"/>
        </w:rPr>
        <w:t>二、部门预算单位构成</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本部门预算为汇总预算，纳入2024年部门预算编制范围的预算单位包括：</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1.区卫生健康局本级</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2.区卫生计生综合监督执法局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shd w:val="clear" w:color="auto" w:fill="FFFFFF"/>
          <w:lang w:val="en-US" w:eastAsia="zh-CN"/>
        </w:rPr>
        <w:t>区妇幼保健院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4.区君山血防站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5.区广兴洲血防站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6.区钱粮湖血防站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7.区卫生计生基层财务核算中心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8.区人民医院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9.区中医医院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3" w:lineRule="atLeas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10.区计划生育协会</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11.区精神病医院</w:t>
      </w:r>
    </w:p>
    <w:p>
      <w:pPr>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12.区疾病预防控制中心</w:t>
      </w:r>
    </w:p>
    <w:p>
      <w:pPr>
        <w:ind w:firstLine="643" w:firstLineChars="200"/>
        <w:rPr>
          <w:rFonts w:hint="eastAsia" w:ascii="Times New Roman" w:hAnsi="Times New Roman" w:eastAsia="黑体" w:cs="Times New Roman"/>
          <w:b/>
          <w:bCs/>
          <w:kern w:val="0"/>
          <w:sz w:val="32"/>
          <w:szCs w:val="32"/>
          <w:highlight w:val="none"/>
        </w:rPr>
      </w:pPr>
      <w:r>
        <w:rPr>
          <w:rFonts w:hint="eastAsia" w:ascii="Times New Roman" w:hAnsi="Times New Roman" w:eastAsia="黑体" w:cs="Times New Roman"/>
          <w:b/>
          <w:bCs/>
          <w:kern w:val="0"/>
          <w:sz w:val="32"/>
          <w:szCs w:val="32"/>
          <w:highlight w:val="none"/>
          <w:lang w:val="en-US" w:eastAsia="zh-CN"/>
        </w:rPr>
        <w:t>三、</w:t>
      </w:r>
      <w:r>
        <w:rPr>
          <w:rFonts w:hint="eastAsia" w:ascii="Times New Roman" w:hAnsi="Times New Roman" w:eastAsia="黑体" w:cs="Times New Roman"/>
          <w:b/>
          <w:bCs/>
          <w:kern w:val="0"/>
          <w:sz w:val="32"/>
          <w:szCs w:val="32"/>
          <w:highlight w:val="none"/>
        </w:rPr>
        <w:t>部门收支总体情况</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部门2024年没有政府性基金预算拨款、国有资本经营预算收入和纳入专户管理的非税收入拨款收入，也没有使用政府性基金预算拨款、国有资本经营预算收入和纳入专户管理的非税收入拨款安排的支出，所以部门预算公开表15、16、17、18、19表均为空。</w:t>
      </w:r>
    </w:p>
    <w:p>
      <w:pPr>
        <w:numPr>
          <w:ilvl w:val="0"/>
          <w:numId w:val="1"/>
        </w:num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收入预算：</w:t>
      </w:r>
      <w:r>
        <w:rPr>
          <w:rFonts w:hint="eastAsia" w:ascii="仿宋_GB2312" w:hAnsi="仿宋_GB2312" w:eastAsia="仿宋_GB2312" w:cs="仿宋_GB2312"/>
          <w:color w:val="000000"/>
          <w:sz w:val="32"/>
          <w:szCs w:val="32"/>
          <w:highlight w:val="none"/>
          <w:shd w:val="clear" w:color="auto" w:fill="FFFFFF"/>
          <w:lang w:val="en-US" w:eastAsia="zh-CN"/>
        </w:rPr>
        <w:t>包括一般公共预算、政府性基金、国有资本经营预算等财政拨款收入，以及经营收入、事业收入等单位资金。2024年本部门收入预算6956.54万元，其中，一般公共预算拨款6956.54万元，政府性基金预算资金0.00万元(所以部门预算公开表15-17表为空)，国有资本经营预算资金0.00万元(所以部门预算公开表18表为空)，财政专户管理资金0.00万元(所以部门预算公开表19表为空)，上</w:t>
      </w:r>
      <w:r>
        <w:rPr>
          <w:rFonts w:hint="eastAsia" w:ascii="仿宋_GB2312" w:hAnsi="仿宋_GB2312" w:eastAsia="仿宋_GB2312" w:cs="仿宋_GB2312"/>
          <w:color w:val="000000"/>
          <w:sz w:val="32"/>
          <w:szCs w:val="32"/>
          <w:shd w:val="clear" w:color="auto" w:fill="FFFFFF"/>
          <w:lang w:val="en-US" w:eastAsia="zh-CN"/>
        </w:rPr>
        <w:t>级补助收入资金0.00万元，事业单位经营收入资金0.00万元，上年结转结余0.00万元。收入较去年减少819.57万元，下降10.54%。主要原因是2024年人员类项目预算较上年减少，从而导致</w:t>
      </w:r>
      <w:r>
        <w:rPr>
          <w:rFonts w:hint="eastAsia" w:ascii="仿宋_GB2312" w:hAnsi="仿宋_GB2312" w:eastAsia="仿宋_GB2312" w:cs="仿宋_GB2312"/>
          <w:color w:val="000000"/>
          <w:sz w:val="32"/>
          <w:szCs w:val="32"/>
          <w:highlight w:val="none"/>
          <w:shd w:val="clear" w:color="auto" w:fill="FFFFFF"/>
          <w:lang w:val="en-US" w:eastAsia="zh-CN"/>
        </w:rPr>
        <w:t>本部门收入预算</w:t>
      </w:r>
      <w:r>
        <w:rPr>
          <w:rFonts w:hint="eastAsia" w:ascii="仿宋_GB2312" w:hAnsi="仿宋_GB2312" w:eastAsia="仿宋_GB2312" w:cs="仿宋_GB2312"/>
          <w:color w:val="000000"/>
          <w:sz w:val="32"/>
          <w:szCs w:val="32"/>
          <w:shd w:val="clear" w:color="auto" w:fill="FFFFFF"/>
          <w:lang w:val="en-US" w:eastAsia="zh-CN"/>
        </w:rPr>
        <w:t>减少。</w:t>
      </w:r>
    </w:p>
    <w:p>
      <w:pPr>
        <w:numPr>
          <w:ilvl w:val="0"/>
          <w:numId w:val="0"/>
        </w:numPr>
        <w:spacing w:line="570" w:lineRule="atLeast"/>
        <w:rPr>
          <w:rFonts w:hint="eastAsia" w:ascii="仿宋_GB2312" w:hAnsi="仿宋_GB2312" w:eastAsia="仿宋_GB2312" w:cs="仿宋_GB2312"/>
          <w:color w:val="000000"/>
          <w:sz w:val="32"/>
          <w:szCs w:val="32"/>
          <w:shd w:val="clear" w:color="auto" w:fill="FFFFFF"/>
          <w:lang w:val="en-US" w:eastAsia="zh-CN"/>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1"/>
        </w:numPr>
        <w:spacing w:line="570" w:lineRule="atLeast"/>
        <w:ind w:left="0" w:leftChars="0"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支出预算：</w:t>
      </w:r>
      <w:r>
        <w:rPr>
          <w:rFonts w:hint="eastAsia" w:ascii="仿宋_GB2312" w:hAnsi="仿宋_GB2312" w:eastAsia="仿宋_GB2312" w:cs="仿宋_GB2312"/>
          <w:color w:val="000000"/>
          <w:sz w:val="32"/>
          <w:szCs w:val="32"/>
          <w:shd w:val="clear" w:color="auto" w:fill="FFFFFF"/>
          <w:lang w:val="en-US" w:eastAsia="zh-CN"/>
        </w:rPr>
        <w:t>2024年本部门支出预算6956.54万元，其中：社会保障和就业支出1248.29万元，卫生健康支出5401.72万元，节能环保支出32.4万元，住房保障支出274.13万元。支出较上年减少819.57万元，下降10.54%。主要原因是2024年人员类项目预算支出较上年减少，从而导致本部门预算支出减少。</w:t>
      </w:r>
    </w:p>
    <w:p>
      <w:pPr>
        <w:numPr>
          <w:ilvl w:val="0"/>
          <w:numId w:val="0"/>
        </w:numPr>
        <w:spacing w:line="570" w:lineRule="atLeast"/>
        <w:rPr>
          <w:rFonts w:hint="eastAsia" w:ascii="仿宋_GB2312" w:hAnsi="仿宋_GB2312" w:eastAsia="仿宋_GB2312" w:cs="仿宋_GB2312"/>
          <w:color w:val="000000"/>
          <w:sz w:val="32"/>
          <w:szCs w:val="32"/>
          <w:shd w:val="clear" w:color="auto" w:fill="FFFFFF"/>
          <w:lang w:val="en-US" w:eastAsia="zh-CN"/>
        </w:rPr>
      </w:pPr>
      <w:r>
        <w:rPr>
          <w:rFonts w:hint="eastAsia"/>
          <w:lang w:val="en-US" w:eastAsia="zh-CN"/>
        </w:rPr>
        <w:t xml:space="preserve">       </w:t>
      </w: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本部门一般公共预算拨款支出6956.54万元，其中：社会保障和就业支出1248.29万元，占17.94%；卫生健康支出5401.72万元，占77.65%；节能环保支出32.4万元，占0.47%；住房保障支出274.13万元，占3.94%。具体安排情况如下：</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（一）基本支出：</w:t>
      </w:r>
      <w:r>
        <w:rPr>
          <w:rFonts w:hint="eastAsia" w:ascii="仿宋_GB2312" w:hAnsi="仿宋_GB2312" w:eastAsia="仿宋_GB2312" w:cs="仿宋_GB2312"/>
          <w:color w:val="000000"/>
          <w:sz w:val="32"/>
          <w:szCs w:val="32"/>
          <w:shd w:val="clear" w:color="auto" w:fill="FFFFFF"/>
          <w:lang w:val="en-US" w:eastAsia="zh-CN"/>
        </w:rPr>
        <w:t>2024年本部门基本支出预算数5063.87万元，主要是为保障部门正常运转、完成日常工作任务而发生的各项支出，包括用于基本工资、津贴补贴等人员经费以及办公费、印刷费、水电费、办公设备购置等公用经费。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（二）项目支出：</w:t>
      </w:r>
      <w:r>
        <w:rPr>
          <w:rFonts w:hint="eastAsia" w:ascii="仿宋_GB2312" w:hAnsi="仿宋_GB2312" w:eastAsia="仿宋_GB2312" w:cs="仿宋_GB2312"/>
          <w:color w:val="000000"/>
          <w:sz w:val="32"/>
          <w:szCs w:val="32"/>
          <w:shd w:val="clear" w:color="auto" w:fill="FFFFFF"/>
          <w:lang w:val="en-US" w:eastAsia="zh-CN"/>
        </w:rPr>
        <w:t>2024年本部门项目支出预算1892.67万元，主要是本部门为完成特定工作任务或事业发展目标而发生的支出，包括有关事业发展专项、专项业务费、基本建设支出等，其中：卫生健康支出1860.27万元，主要用于局机关卫生健康管理事务中公务运行及二级机构公共卫生等方面；节能环保支出32.4万元，</w:t>
      </w:r>
      <w:r>
        <w:rPr>
          <w:rFonts w:hint="eastAsia" w:ascii="仿宋_GB2312" w:hAnsi="仿宋_GB2312" w:eastAsia="仿宋_GB2312" w:cs="仿宋_GB2312"/>
          <w:color w:val="auto"/>
          <w:sz w:val="32"/>
          <w:szCs w:val="32"/>
          <w:shd w:val="clear" w:color="auto" w:fill="FFFFFF"/>
          <w:lang w:val="en-US" w:eastAsia="zh-CN"/>
        </w:rPr>
        <w:t>主要用于医疗废弃物处置费等方面</w:t>
      </w:r>
      <w:r>
        <w:rPr>
          <w:rFonts w:hint="eastAsia" w:ascii="仿宋_GB2312" w:hAnsi="仿宋_GB2312" w:eastAsia="仿宋_GB2312" w:cs="仿宋_GB2312"/>
          <w:color w:val="000000"/>
          <w:sz w:val="32"/>
          <w:szCs w:val="32"/>
          <w:shd w:val="clear" w:color="auto" w:fill="FFFFFF"/>
          <w:lang w:val="en-US" w:eastAsia="zh-CN"/>
        </w:rPr>
        <w:t>。</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2024年度本部门无政府性基金安排的支出，所以公开的附件15-17表（政府性基金预算）为空。</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（一）机关运行经费：</w:t>
      </w:r>
      <w:r>
        <w:rPr>
          <w:rFonts w:hint="eastAsia" w:ascii="仿宋_GB2312" w:hAnsi="仿宋_GB2312" w:eastAsia="仿宋_GB2312" w:cs="仿宋_GB2312"/>
          <w:color w:val="000000"/>
          <w:sz w:val="32"/>
          <w:szCs w:val="32"/>
          <w:shd w:val="clear" w:color="auto" w:fill="FFFFFF"/>
          <w:lang w:val="en-US" w:eastAsia="zh-CN"/>
        </w:rPr>
        <w:t>2024年本部门机关本级、区卫生计生综合监督执法局、区疾病预防控制中心、区妇幼保健院、区卫生计生基层财务集中核算中心等5家行政事业单位的机关运行经费104.5万元，比上年预算下降42.26%。主要原因</w:t>
      </w:r>
      <w:r>
        <w:rPr>
          <w:rFonts w:hint="eastAsia" w:ascii="仿宋_GB2312" w:hAnsi="仿宋_GB2312" w:eastAsia="仿宋_GB2312" w:cs="仿宋_GB2312"/>
          <w:color w:val="000000"/>
          <w:sz w:val="32"/>
          <w:szCs w:val="32"/>
          <w:highlight w:val="none"/>
          <w:shd w:val="clear" w:color="auto" w:fill="FFFFFF"/>
          <w:lang w:val="en-US" w:eastAsia="zh-CN"/>
        </w:rPr>
        <w:t>是</w:t>
      </w:r>
      <w:r>
        <w:rPr>
          <w:rFonts w:hint="eastAsia" w:eastAsia="仿宋_GB2312"/>
          <w:sz w:val="32"/>
          <w:szCs w:val="32"/>
          <w:lang w:eastAsia="zh-CN"/>
        </w:rPr>
        <w:t>厉行节约要求，进一步压缩商品及服务支出，</w:t>
      </w:r>
      <w:r>
        <w:rPr>
          <w:rFonts w:hint="eastAsia" w:ascii="仿宋_GB2312" w:hAnsi="仿宋_GB2312" w:eastAsia="仿宋_GB2312" w:cs="仿宋_GB2312"/>
          <w:color w:val="000000"/>
          <w:sz w:val="32"/>
          <w:szCs w:val="32"/>
          <w:shd w:val="clear" w:color="auto" w:fill="FFFFFF"/>
          <w:lang w:val="en-US" w:eastAsia="zh-CN"/>
        </w:rPr>
        <w:t>造成公用经费预算减少。</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（二）“三公”经费预算：</w:t>
      </w:r>
      <w:r>
        <w:rPr>
          <w:rFonts w:hint="eastAsia" w:ascii="仿宋_GB2312" w:hAnsi="仿宋_GB2312" w:eastAsia="仿宋_GB2312" w:cs="仿宋_GB2312"/>
          <w:color w:val="000000"/>
          <w:sz w:val="32"/>
          <w:szCs w:val="32"/>
          <w:shd w:val="clear" w:color="auto" w:fill="FFFFFF"/>
          <w:lang w:val="en-US" w:eastAsia="zh-CN"/>
        </w:rPr>
        <w:t>2024年本部门机关本级、区疾病预防控制中心、区妇幼保健院等3家行政事业单位“三公”经费预算数为5.4万元，其中，公务接待费2.9万元，公务用车购置及运行费2.5万元（其中，公务用车购置费0万元，公务用车运行费2.5万元），因公出国（境）费0万元。2024年“三公”经费预算较2023年减少0.35万元，主要原因是严格落实中央“八项规定”精神和“过紧日子”的要求，从严控制“三公”经费支出。</w:t>
      </w:r>
      <w:bookmarkStart w:id="0" w:name="DIS_MARK_IS_ZERO_06_2"/>
      <w:bookmarkEnd w:id="0"/>
      <w:bookmarkStart w:id="1" w:name="END_IS_ZERO_06_1"/>
      <w:bookmarkEnd w:id="1"/>
      <w:bookmarkStart w:id="2" w:name="START_IS_ZERO_06_2"/>
      <w:bookmarkEnd w:id="2"/>
      <w:bookmarkStart w:id="3" w:name="END_IS_ZERO_06_2"/>
      <w:bookmarkEnd w:id="3"/>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（三）一般性支出情况：</w:t>
      </w:r>
      <w:r>
        <w:rPr>
          <w:rFonts w:hint="eastAsia" w:ascii="仿宋_GB2312" w:hAnsi="仿宋_GB2312" w:eastAsia="仿宋_GB2312" w:cs="仿宋_GB2312"/>
          <w:color w:val="000000"/>
          <w:sz w:val="32"/>
          <w:szCs w:val="32"/>
          <w:shd w:val="clear" w:color="auto" w:fill="FFFFFF"/>
          <w:lang w:val="en-US" w:eastAsia="zh-CN"/>
        </w:rPr>
        <w:t>2024年本部门会议费预算1.4万元，拟召开</w:t>
      </w:r>
      <w:r>
        <w:rPr>
          <w:rFonts w:hint="eastAsia" w:ascii="仿宋" w:hAnsi="仿宋" w:eastAsia="仿宋" w:cs="仿宋"/>
          <w:i w:val="0"/>
          <w:iCs w:val="0"/>
          <w:caps w:val="0"/>
          <w:color w:val="333333"/>
          <w:spacing w:val="0"/>
          <w:sz w:val="32"/>
          <w:szCs w:val="32"/>
          <w:shd w:val="clear" w:color="auto" w:fill="FFFFFF"/>
        </w:rPr>
        <w:t>基本公共卫生、医政医改、计划生育、血吸虫病防治</w:t>
      </w:r>
      <w:r>
        <w:rPr>
          <w:rFonts w:hint="eastAsia" w:ascii="仿宋_GB2312" w:hAnsi="仿宋_GB2312" w:eastAsia="仿宋_GB2312" w:cs="仿宋_GB2312"/>
          <w:color w:val="000000"/>
          <w:sz w:val="32"/>
          <w:szCs w:val="32"/>
          <w:shd w:val="clear" w:color="auto" w:fill="FFFFFF"/>
          <w:lang w:val="en-US" w:eastAsia="zh-CN"/>
        </w:rPr>
        <w:t>等9次会议，人数380人，内容为会场租赁、会议资料和其他杂费等；培训费预算2.2万元，拟开展</w:t>
      </w:r>
      <w:r>
        <w:rPr>
          <w:rFonts w:hint="eastAsia" w:ascii="仿宋" w:hAnsi="仿宋" w:eastAsia="仿宋" w:cs="仿宋"/>
          <w:i w:val="0"/>
          <w:iCs w:val="0"/>
          <w:caps w:val="0"/>
          <w:color w:val="333333"/>
          <w:spacing w:val="0"/>
          <w:sz w:val="32"/>
          <w:szCs w:val="32"/>
          <w:shd w:val="clear" w:color="auto" w:fill="FFFFFF"/>
        </w:rPr>
        <w:t>基本公共卫生、医政医改、计划生育、血吸虫病防治</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lang w:val="en-US" w:eastAsia="zh-CN"/>
        </w:rPr>
        <w:t>财务培训</w:t>
      </w:r>
      <w:r>
        <w:rPr>
          <w:rFonts w:hint="eastAsia" w:ascii="仿宋_GB2312" w:hAnsi="仿宋_GB2312" w:eastAsia="仿宋_GB2312" w:cs="仿宋_GB2312"/>
          <w:color w:val="000000"/>
          <w:sz w:val="32"/>
          <w:szCs w:val="32"/>
          <w:shd w:val="clear" w:color="auto" w:fill="FFFFFF"/>
          <w:lang w:val="en-US" w:eastAsia="zh-CN"/>
        </w:rPr>
        <w:t>等10次培训，人数430人，内容为授课费、场地租赁费、培训餐费等；</w:t>
      </w:r>
      <w:r>
        <w:rPr>
          <w:rFonts w:hint="eastAsia" w:ascii="仿宋_GB2312" w:hAnsi="仿宋_GB2312" w:eastAsia="仿宋_GB2312" w:cs="仿宋_GB2312"/>
          <w:color w:val="000000"/>
          <w:kern w:val="2"/>
          <w:sz w:val="32"/>
          <w:szCs w:val="32"/>
          <w:shd w:val="clear" w:color="auto" w:fill="FFFFFF"/>
          <w:lang w:val="en-US" w:eastAsia="zh-CN" w:bidi="ar-SA"/>
        </w:rPr>
        <w:t>2024年度本部门未计划举办节庆、晚会、论坛、赛事活动。</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（四）政府采购情况：</w:t>
      </w:r>
      <w:r>
        <w:rPr>
          <w:rFonts w:hint="eastAsia" w:ascii="仿宋_GB2312" w:hAnsi="仿宋_GB2312" w:eastAsia="仿宋_GB2312" w:cs="仿宋_GB2312"/>
          <w:color w:val="000000"/>
          <w:sz w:val="32"/>
          <w:szCs w:val="32"/>
          <w:shd w:val="clear" w:color="auto" w:fill="FFFFFF"/>
          <w:lang w:val="en-US" w:eastAsia="zh-CN"/>
        </w:rPr>
        <w:t>2024年本部门政府采购预算总额344.59万元，其中，货物类采购预算174.89万元；工程类采购预5万元；服务类采购预算164.7万元。</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（五）国有资产占用使用及新增资产配置情况：</w:t>
      </w:r>
      <w:r>
        <w:rPr>
          <w:rFonts w:hint="eastAsia" w:ascii="仿宋_GB2312" w:hAnsi="仿宋_GB2312" w:eastAsia="仿宋_GB2312" w:cs="仿宋_GB2312"/>
          <w:color w:val="000000"/>
          <w:sz w:val="32"/>
          <w:szCs w:val="32"/>
          <w:shd w:val="clear" w:color="auto" w:fill="FFFFFF"/>
          <w:lang w:val="en-US" w:eastAsia="zh-CN"/>
        </w:rPr>
        <w:t>截至2023年12月底，本部门共有公务用车16辆，其中，机要通信用车0辆，应急保障用车3辆，执法执勤用车0辆，特种专业技术用车8辆，其他按照规定配备的公务用车5辆；单位价值50万元以上设备19台，其中，单位价值100万元以上设备6台。</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2024年拟新增配置公务用车0辆，</w:t>
      </w:r>
      <w:r>
        <w:rPr>
          <w:rFonts w:hint="eastAsia" w:ascii="仿宋_GB2312" w:hAnsi="仿宋_GB2312" w:eastAsia="仿宋_GB2312" w:cs="仿宋_GB2312"/>
          <w:color w:val="000000"/>
          <w:sz w:val="32"/>
          <w:szCs w:val="32"/>
          <w:highlight w:val="none"/>
          <w:shd w:val="clear" w:color="auto" w:fill="FFFFFF"/>
          <w:lang w:val="en-US" w:eastAsia="zh-CN"/>
        </w:rPr>
        <w:t>其中，机要通信用车0辆，应急保障用车0辆，执法执勤用车0辆，特种专业技术用车0辆，其他按照规定配备的公务用车0辆</w:t>
      </w:r>
      <w:r>
        <w:rPr>
          <w:rFonts w:hint="eastAsia" w:ascii="仿宋_GB2312" w:hAnsi="仿宋_GB2312" w:eastAsia="仿宋_GB2312" w:cs="仿宋_GB2312"/>
          <w:color w:val="000000"/>
          <w:sz w:val="32"/>
          <w:szCs w:val="32"/>
          <w:shd w:val="clear" w:color="auto" w:fill="FFFFFF"/>
          <w:lang w:val="en-US" w:eastAsia="zh-CN"/>
        </w:rPr>
        <w:t>；新增配备单位价值50万元以上设备60台，其中，单位价值100万元以上设备4台。</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（六）预算绩效目标说明：</w:t>
      </w:r>
      <w:r>
        <w:rPr>
          <w:rFonts w:hint="eastAsia" w:ascii="仿宋_GB2312" w:hAnsi="仿宋_GB2312" w:eastAsia="仿宋_GB2312" w:cs="仿宋_GB2312"/>
          <w:color w:val="000000"/>
          <w:sz w:val="32"/>
          <w:szCs w:val="32"/>
          <w:shd w:val="clear" w:color="auto" w:fill="FFFFFF"/>
          <w:lang w:val="en-US" w:eastAsia="zh-CN"/>
        </w:rPr>
        <w:t>本部门所有支出实行绩效目标管理。纳入2024年部门整体支出绩效目标的金额为6956.54万元，其中，基本支出5063.87万元，项目支出1892.67万元，具体绩效目标详见文尾附表中部门预算公开表21-2</w:t>
      </w:r>
      <w:r>
        <w:rPr>
          <w:rFonts w:hint="eastAsia" w:ascii="仿宋_GB2312" w:hAnsi="仿宋_GB2312" w:eastAsia="仿宋_GB2312" w:cs="仿宋_GB2312"/>
          <w:color w:val="000000"/>
          <w:sz w:val="32"/>
          <w:szCs w:val="32"/>
          <w:highlight w:val="none"/>
          <w:shd w:val="clear" w:color="auto" w:fill="FFFFFF"/>
          <w:lang w:val="en-US" w:eastAsia="zh-CN"/>
        </w:rPr>
        <w:t>2表</w:t>
      </w:r>
      <w:r>
        <w:rPr>
          <w:rFonts w:hint="eastAsia" w:ascii="仿宋_GB2312" w:hAnsi="仿宋_GB2312" w:eastAsia="仿宋_GB2312" w:cs="仿宋_GB2312"/>
          <w:color w:val="000000"/>
          <w:sz w:val="32"/>
          <w:szCs w:val="32"/>
          <w:shd w:val="clear" w:color="auto" w:fill="FFFFFF"/>
          <w:lang w:val="en-US" w:eastAsia="zh-CN"/>
        </w:rPr>
        <w:t>。</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1．机关运行经费：</w:t>
      </w:r>
      <w:r>
        <w:rPr>
          <w:rFonts w:hint="eastAsia" w:ascii="仿宋_GB2312" w:hAnsi="仿宋_GB2312" w:eastAsia="仿宋_GB2312" w:cs="仿宋_GB2312"/>
          <w:color w:val="000000"/>
          <w:sz w:val="32"/>
          <w:szCs w:val="32"/>
          <w:shd w:val="clear" w:color="auto" w:fill="FFFFFF"/>
          <w:lang w:val="en-US" w:eastAsia="zh-CN"/>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70" w:lineRule="atLeast"/>
        <w:ind w:firstLine="643" w:firstLineChars="200"/>
        <w:rPr>
          <w:rFonts w:hint="eastAsia" w:asciiTheme="minorEastAsia" w:hAnsiTheme="minorEastAsia" w:eastAsiaTheme="minorEastAsia" w:cstheme="minorEastAsia"/>
          <w:sz w:val="28"/>
          <w:szCs w:val="28"/>
        </w:rPr>
      </w:pPr>
      <w:r>
        <w:rPr>
          <w:rFonts w:hint="eastAsia" w:ascii="仿宋_GB2312" w:hAnsi="仿宋_GB2312" w:eastAsia="仿宋_GB2312" w:cs="仿宋_GB2312"/>
          <w:b/>
          <w:bCs/>
          <w:color w:val="000000"/>
          <w:sz w:val="32"/>
          <w:szCs w:val="32"/>
          <w:shd w:val="clear" w:color="auto" w:fill="FFFFFF"/>
          <w:lang w:val="en-US" w:eastAsia="zh-CN"/>
        </w:rPr>
        <w:t>2．“三公”经费：</w:t>
      </w:r>
      <w:r>
        <w:rPr>
          <w:rFonts w:hint="eastAsia" w:ascii="仿宋_GB2312" w:hAnsi="仿宋_GB2312" w:eastAsia="仿宋_GB2312" w:cs="仿宋_GB2312"/>
          <w:color w:val="000000"/>
          <w:sz w:val="32"/>
          <w:szCs w:val="32"/>
          <w:shd w:val="clear" w:color="auto" w:fill="FFFFFF"/>
          <w:lang w:val="en-US" w:eastAsia="zh-CN"/>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Theme="minorEastAsia" w:hAnsiTheme="minorEastAsia" w:eastAsiaTheme="minorEastAsia" w:cstheme="minorEastAsia"/>
          <w:sz w:val="28"/>
          <w:szCs w:val="28"/>
        </w:rPr>
      </w:pPr>
      <w:bookmarkStart w:id="4" w:name="_GoBack"/>
      <w:bookmarkEnd w:id="4"/>
      <w:r>
        <w:rPr>
          <w:rFonts w:hint="eastAsia" w:ascii="方正小标宋简体" w:hAnsi="Times New Roman" w:eastAsia="方正小标宋简体" w:cs="Times New Roman"/>
          <w:b/>
          <w:bCs/>
          <w:kern w:val="0"/>
          <w:sz w:val="36"/>
          <w:szCs w:val="36"/>
          <w:lang w:val="en-US" w:eastAsia="zh-CN" w:bidi="ar-SA"/>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附件：岳阳市君山区卫生健康局2024年部门预算公开表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textAlignment w:val="center"/>
        <w:rPr>
          <w:rFonts w:hint="eastAsia" w:asciiTheme="minorEastAsia" w:hAnsiTheme="minorEastAsia" w:eastAsiaTheme="minorEastAsia" w:cstheme="minorEastAsia"/>
          <w:b/>
          <w:bCs/>
          <w:i w:val="0"/>
          <w:iCs w:val="0"/>
          <w:caps w:val="0"/>
          <w:color w:val="333333"/>
          <w:spacing w:val="0"/>
          <w:sz w:val="28"/>
          <w:szCs w:val="28"/>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E854"/>
    <w:multiLevelType w:val="singleLevel"/>
    <w:tmpl w:val="A250E8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 w:name="KSO_WPS_MARK_KEY" w:val="7598f9e3-3b03-4f80-a5b3-4cc8c3b27a5d"/>
  </w:docVars>
  <w:rsids>
    <w:rsidRoot w:val="00172A27"/>
    <w:rsid w:val="010D1261"/>
    <w:rsid w:val="01442A8C"/>
    <w:rsid w:val="0164719B"/>
    <w:rsid w:val="05974297"/>
    <w:rsid w:val="066547B5"/>
    <w:rsid w:val="06E20A2E"/>
    <w:rsid w:val="0794481D"/>
    <w:rsid w:val="0BC81D71"/>
    <w:rsid w:val="0BD240F7"/>
    <w:rsid w:val="0C923A83"/>
    <w:rsid w:val="0E5B42C5"/>
    <w:rsid w:val="0E945A90"/>
    <w:rsid w:val="112B4160"/>
    <w:rsid w:val="11A2545A"/>
    <w:rsid w:val="15C56A51"/>
    <w:rsid w:val="167C1082"/>
    <w:rsid w:val="16FB76F0"/>
    <w:rsid w:val="19A96195"/>
    <w:rsid w:val="1C6F6CFF"/>
    <w:rsid w:val="1C744CBF"/>
    <w:rsid w:val="1D83629B"/>
    <w:rsid w:val="1D927536"/>
    <w:rsid w:val="1ECC4DAF"/>
    <w:rsid w:val="1EED7245"/>
    <w:rsid w:val="1F8F2DF1"/>
    <w:rsid w:val="20CE0ED9"/>
    <w:rsid w:val="232333DF"/>
    <w:rsid w:val="270B77EA"/>
    <w:rsid w:val="2C8B2374"/>
    <w:rsid w:val="2CD84711"/>
    <w:rsid w:val="2D2E5DC6"/>
    <w:rsid w:val="2D3A78E3"/>
    <w:rsid w:val="2D4711F5"/>
    <w:rsid w:val="2D6B6464"/>
    <w:rsid w:val="31243D32"/>
    <w:rsid w:val="328F1D91"/>
    <w:rsid w:val="33B47B64"/>
    <w:rsid w:val="34E60573"/>
    <w:rsid w:val="378D02D4"/>
    <w:rsid w:val="3B5738AD"/>
    <w:rsid w:val="3BB80C36"/>
    <w:rsid w:val="3D75621E"/>
    <w:rsid w:val="436D70FC"/>
    <w:rsid w:val="43AB4E61"/>
    <w:rsid w:val="44D0578A"/>
    <w:rsid w:val="4AF62C56"/>
    <w:rsid w:val="4AF63F02"/>
    <w:rsid w:val="4DA651AE"/>
    <w:rsid w:val="4DBA372C"/>
    <w:rsid w:val="4E511DD4"/>
    <w:rsid w:val="4EE728E7"/>
    <w:rsid w:val="5111784E"/>
    <w:rsid w:val="51B62990"/>
    <w:rsid w:val="52D37339"/>
    <w:rsid w:val="54B01A3E"/>
    <w:rsid w:val="5502244D"/>
    <w:rsid w:val="56292ED3"/>
    <w:rsid w:val="5661211B"/>
    <w:rsid w:val="57A44D61"/>
    <w:rsid w:val="5B525B22"/>
    <w:rsid w:val="5BCD52BC"/>
    <w:rsid w:val="62CB7F2F"/>
    <w:rsid w:val="630C74C5"/>
    <w:rsid w:val="637274E6"/>
    <w:rsid w:val="63733966"/>
    <w:rsid w:val="67C24366"/>
    <w:rsid w:val="68675E30"/>
    <w:rsid w:val="6C6131B6"/>
    <w:rsid w:val="6CD30628"/>
    <w:rsid w:val="6D6656CC"/>
    <w:rsid w:val="6DE7565E"/>
    <w:rsid w:val="73626AED"/>
    <w:rsid w:val="73807E7E"/>
    <w:rsid w:val="758E7C42"/>
    <w:rsid w:val="76F66C6C"/>
    <w:rsid w:val="78483ADB"/>
    <w:rsid w:val="78CC0C1A"/>
    <w:rsid w:val="795B5D0D"/>
    <w:rsid w:val="79ED56EB"/>
    <w:rsid w:val="7C7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15753557121149"/>
          <c:y val="0.375044435040203"/>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Pt>
            <c:idx val="4"/>
            <c:bubble3D val="0"/>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a:scene3d>
                <a:camera prst="orthographicFront"/>
                <a:lightRig rig="threePt" dir="t"/>
              </a:scene3d>
              <a:sp3d contourW="9525"/>
            </c:spPr>
          </c:dPt>
          <c:dLbls>
            <c:dLbl>
              <c:idx val="0"/>
              <c:layout>
                <c:manualLayout>
                  <c:x val="-0.04247704510012"/>
                  <c:y val="-0.026084375466378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2287838975576"/>
                  <c:y val="0.016557278473896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93755704289626"/>
                  <c:y val="0.16240351708403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00160436506772"/>
                  <c:y val="0.24888379745310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[收入预算图.xlsx]Sheet1!$B$2:$B$6</c:f>
              <c:strCache>
                <c:ptCount val="5"/>
                <c:pt idx="0">
                  <c:v>社会保障和就业支出</c:v>
                </c:pt>
                <c:pt idx="1">
                  <c:v>卫生健康支出</c:v>
                </c:pt>
                <c:pt idx="2">
                  <c:v>住房保障支出</c:v>
                </c:pt>
                <c:pt idx="4">
                  <c:v>节能环保支出</c:v>
                </c:pt>
              </c:strCache>
            </c:strRef>
          </c:cat>
          <c:val>
            <c:numRef>
              <c:f>[收入预算图.xlsx]Sheet1!$C$2:$C$6</c:f>
              <c:numCache>
                <c:formatCode>0.00%</c:formatCode>
                <c:ptCount val="5"/>
                <c:pt idx="0">
                  <c:v>0.1794</c:v>
                </c:pt>
                <c:pt idx="1">
                  <c:v>0.7765</c:v>
                </c:pt>
                <c:pt idx="2">
                  <c:v>0.0394</c:v>
                </c:pt>
                <c:pt idx="4">
                  <c:v>0.0047</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3835</Words>
  <Characters>4184</Characters>
  <Lines>1</Lines>
  <Paragraphs>1</Paragraphs>
  <TotalTime>8</TotalTime>
  <ScaleCrop>false</ScaleCrop>
  <LinksUpToDate>false</LinksUpToDate>
  <CharactersWithSpaces>4197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2024-06-23T03:04:18Z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FDC75471C92F4841AA59D54BE69A2548_13</vt:lpwstr>
  </property>
</Properties>
</file>