
<file path=[Content_Types].xml><?xml version="1.0" encoding="utf-8"?>
<Types xmlns="http://schemas.openxmlformats.org/package/2006/content-types">
  <Default Extension="xml" ContentType="application/xml"/>
  <Default Extension="xlsx" ContentType="application/vnd.openxmlformats-officedocument.spreadsheetml.sheet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0" w:lineRule="atLeast"/>
        <w:jc w:val="center"/>
        <w:rPr>
          <w:rFonts w:ascii="方正小标宋简体" w:hAnsi="方正小标宋简体" w:eastAsia="方正小标宋简体" w:cs="方正小标宋简体"/>
          <w:b/>
          <w:bCs/>
          <w:sz w:val="44"/>
          <w:szCs w:val="44"/>
        </w:rPr>
      </w:pPr>
    </w:p>
    <w:p>
      <w:pPr>
        <w:spacing w:line="570" w:lineRule="atLeast"/>
        <w:jc w:val="center"/>
        <w:rPr>
          <w:rFonts w:ascii="方正小标宋简体" w:hAnsi="方正小标宋简体" w:eastAsia="方正小标宋简体" w:cs="方正小标宋简体"/>
          <w:b/>
          <w:bCs/>
          <w:sz w:val="44"/>
          <w:szCs w:val="44"/>
        </w:rPr>
      </w:pPr>
    </w:p>
    <w:p>
      <w:pPr>
        <w:spacing w:line="570" w:lineRule="atLeast"/>
        <w:jc w:val="center"/>
        <w:rPr>
          <w:rFonts w:ascii="方正小标宋简体" w:hAnsi="方正小标宋简体" w:eastAsia="方正小标宋简体" w:cs="方正小标宋简体"/>
          <w:b/>
          <w:bCs/>
          <w:sz w:val="44"/>
          <w:szCs w:val="44"/>
        </w:rPr>
      </w:pPr>
    </w:p>
    <w:p>
      <w:pPr>
        <w:spacing w:line="570" w:lineRule="atLeast"/>
        <w:jc w:val="center"/>
        <w:rPr>
          <w:rFonts w:ascii="方正小标宋简体" w:hAnsi="方正小标宋简体" w:eastAsia="方正小标宋简体" w:cs="方正小标宋简体"/>
          <w:b/>
          <w:bCs/>
          <w:sz w:val="44"/>
          <w:szCs w:val="44"/>
        </w:rPr>
      </w:pPr>
    </w:p>
    <w:p>
      <w:pPr>
        <w:spacing w:line="570" w:lineRule="atLeast"/>
        <w:jc w:val="center"/>
        <w:rPr>
          <w:rFonts w:ascii="方正小标宋简体" w:hAnsi="方正小标宋简体" w:eastAsia="方正小标宋简体" w:cs="方正小标宋简体"/>
          <w:b/>
          <w:bCs/>
          <w:sz w:val="44"/>
          <w:szCs w:val="44"/>
        </w:rPr>
      </w:pPr>
    </w:p>
    <w:p>
      <w:pPr>
        <w:spacing w:line="570" w:lineRule="atLeast"/>
        <w:jc w:val="center"/>
        <w:rPr>
          <w:rFonts w:ascii="方正小标宋简体" w:hAnsi="方正小标宋简体" w:eastAsia="方正小标宋简体" w:cs="方正小标宋简体"/>
          <w:b/>
          <w:bCs/>
          <w:sz w:val="44"/>
          <w:szCs w:val="44"/>
        </w:rPr>
      </w:pPr>
    </w:p>
    <w:p>
      <w:pPr>
        <w:spacing w:line="570" w:lineRule="atLeast"/>
        <w:jc w:val="center"/>
        <w:rPr>
          <w:rFonts w:ascii="方正小标宋简体" w:hAnsi="方正小标宋简体" w:eastAsia="方正小标宋简体" w:cs="方正小标宋简体"/>
          <w:b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  <w:t>岳阳市君山区中医医院</w:t>
      </w:r>
    </w:p>
    <w:p>
      <w:pPr>
        <w:spacing w:line="570" w:lineRule="atLeast"/>
        <w:jc w:val="center"/>
        <w:rPr>
          <w:rFonts w:ascii="黑体" w:hAnsi="黑体" w:eastAsia="黑体" w:cs="黑体"/>
          <w:b/>
          <w:bCs/>
          <w:sz w:val="48"/>
          <w:szCs w:val="48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  <w:t>2024年部门预算公开</w:t>
      </w:r>
    </w:p>
    <w:p/>
    <w:p>
      <w:pPr>
        <w:widowControl/>
        <w:spacing w:line="570" w:lineRule="atLeast"/>
        <w:jc w:val="center"/>
        <w:rPr>
          <w:rFonts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ascii="Times New Roman" w:hAnsi="Times New Roman" w:eastAsia="黑体" w:cs="Times New Roman"/>
          <w:b/>
          <w:kern w:val="0"/>
          <w:sz w:val="36"/>
          <w:szCs w:val="36"/>
        </w:rPr>
      </w:pPr>
      <w:r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  <w:t>目 录</w:t>
      </w:r>
    </w:p>
    <w:p>
      <w:pPr>
        <w:ind w:firstLine="643" w:firstLineChars="200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第一部分 2024年部门预算说明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一、部门基本概况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二、部门预算单位构成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三、部门收支总体情况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四、一般公共预算拨款支出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五、政府性基金预算支出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六、其他重要事项的情况说明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七、名词解释</w:t>
      </w:r>
    </w:p>
    <w:p>
      <w:pPr>
        <w:ind w:firstLine="643" w:firstLineChars="200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第二部分 2024年部门预算表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注：以上部门预算公开报表中，空表表示本部门无相关收支情况。</w:t>
      </w:r>
    </w:p>
    <w:p>
      <w:pPr>
        <w:jc w:val="center"/>
        <w:rPr>
          <w:rFonts w:asciiTheme="minorEastAsia" w:hAnsiTheme="minorEastAsia" w:cstheme="minorEastAsia"/>
          <w:b/>
          <w:bCs/>
          <w:sz w:val="28"/>
          <w:szCs w:val="28"/>
        </w:rPr>
      </w:pPr>
    </w:p>
    <w:p>
      <w:pPr>
        <w:jc w:val="center"/>
        <w:rPr>
          <w:rFonts w:ascii="Times New Roman" w:hAnsi="Times New Roman" w:eastAsia="方正小标宋_GBK" w:cs="Times New Roman"/>
          <w:b/>
          <w:bCs/>
          <w:kern w:val="0"/>
          <w:sz w:val="36"/>
          <w:szCs w:val="36"/>
        </w:rPr>
      </w:pPr>
      <w:r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  <w:t>第一部分 部门预算公开说明</w:t>
      </w:r>
    </w:p>
    <w:p>
      <w:pPr>
        <w:ind w:firstLine="643" w:firstLineChars="200"/>
        <w:rPr>
          <w:rFonts w:ascii="Times New Roman" w:hAnsi="Times New Roman" w:eastAsia="黑体" w:cs="Times New Roman"/>
          <w:b/>
          <w:bCs/>
          <w:kern w:val="0"/>
          <w:sz w:val="32"/>
          <w:szCs w:val="32"/>
        </w:rPr>
      </w:pPr>
    </w:p>
    <w:p>
      <w:pPr>
        <w:ind w:firstLine="643" w:firstLineChars="200"/>
        <w:rPr>
          <w:rFonts w:asciiTheme="minorEastAsia" w:hAnsiTheme="minorEastAsia" w:cstheme="minorEastAsia"/>
          <w:b/>
          <w:bCs/>
          <w:sz w:val="28"/>
          <w:szCs w:val="28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一、部门基本概况</w:t>
      </w:r>
    </w:p>
    <w:p>
      <w:pPr>
        <w:spacing w:line="570" w:lineRule="atLeast"/>
        <w:ind w:firstLine="643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（一）职能职责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eastAsia="仿宋_GB2312"/>
          <w:sz w:val="32"/>
          <w:szCs w:val="32"/>
        </w:rPr>
        <w:t>岳阳市君山区中医医院创建于</w:t>
      </w:r>
      <w:r>
        <w:rPr>
          <w:rFonts w:eastAsia="仿宋_GB2312"/>
          <w:sz w:val="32"/>
          <w:szCs w:val="32"/>
        </w:rPr>
        <w:t>1959</w:t>
      </w:r>
      <w:r>
        <w:rPr>
          <w:rFonts w:hint="eastAsia" w:eastAsia="仿宋_GB2312"/>
          <w:sz w:val="32"/>
          <w:szCs w:val="32"/>
        </w:rPr>
        <w:t>年</w:t>
      </w:r>
      <w:r>
        <w:rPr>
          <w:rFonts w:eastAsia="仿宋_GB2312"/>
          <w:sz w:val="32"/>
          <w:szCs w:val="32"/>
        </w:rPr>
        <w:t>2</w:t>
      </w:r>
      <w:r>
        <w:rPr>
          <w:rFonts w:hint="eastAsia" w:eastAsia="仿宋_GB2312"/>
          <w:sz w:val="32"/>
          <w:szCs w:val="32"/>
        </w:rPr>
        <w:t>月，位于洞庭湖腹地岳阳市君山区钱粮湖镇人民北路</w:t>
      </w:r>
      <w:r>
        <w:rPr>
          <w:rFonts w:eastAsia="仿宋_GB2312"/>
          <w:sz w:val="32"/>
          <w:szCs w:val="32"/>
        </w:rPr>
        <w:t>1</w:t>
      </w:r>
      <w:r>
        <w:rPr>
          <w:rFonts w:hint="eastAsia" w:eastAsia="仿宋_GB2312"/>
          <w:sz w:val="32"/>
          <w:szCs w:val="32"/>
        </w:rPr>
        <w:t>号，前身为国营钱粮湖农场职工医院，</w:t>
      </w:r>
      <w:r>
        <w:rPr>
          <w:rFonts w:eastAsia="仿宋_GB2312"/>
          <w:sz w:val="32"/>
          <w:szCs w:val="32"/>
        </w:rPr>
        <w:t>2000</w:t>
      </w:r>
      <w:r>
        <w:rPr>
          <w:rFonts w:hint="eastAsia" w:eastAsia="仿宋_GB2312"/>
          <w:sz w:val="32"/>
          <w:szCs w:val="32"/>
        </w:rPr>
        <w:t>年撤场并区改为岳阳市君山区第二人民医院，</w:t>
      </w:r>
      <w:r>
        <w:rPr>
          <w:rFonts w:eastAsia="仿宋_GB2312"/>
          <w:sz w:val="32"/>
          <w:szCs w:val="32"/>
        </w:rPr>
        <w:t>2011</w:t>
      </w:r>
      <w:r>
        <w:rPr>
          <w:rFonts w:hint="eastAsia" w:eastAsia="仿宋_GB2312"/>
          <w:sz w:val="32"/>
          <w:szCs w:val="32"/>
        </w:rPr>
        <w:t>年</w:t>
      </w:r>
      <w:r>
        <w:rPr>
          <w:rFonts w:eastAsia="仿宋_GB2312"/>
          <w:sz w:val="32"/>
          <w:szCs w:val="32"/>
        </w:rPr>
        <w:t>6</w:t>
      </w:r>
      <w:r>
        <w:rPr>
          <w:rFonts w:hint="eastAsia" w:eastAsia="仿宋_GB2312"/>
          <w:sz w:val="32"/>
          <w:szCs w:val="32"/>
        </w:rPr>
        <w:t>月更为现名，</w:t>
      </w:r>
      <w:r>
        <w:rPr>
          <w:rFonts w:eastAsia="仿宋_GB2312"/>
          <w:sz w:val="32"/>
          <w:szCs w:val="32"/>
        </w:rPr>
        <w:t>2018</w:t>
      </w:r>
      <w:r>
        <w:rPr>
          <w:rFonts w:hint="eastAsia" w:eastAsia="仿宋_GB2312"/>
          <w:sz w:val="32"/>
          <w:szCs w:val="32"/>
        </w:rPr>
        <w:t>年获市卫健委获批设置，</w:t>
      </w:r>
      <w:r>
        <w:rPr>
          <w:rFonts w:eastAsia="仿宋_GB2312"/>
          <w:sz w:val="32"/>
          <w:szCs w:val="32"/>
        </w:rPr>
        <w:t>2021</w:t>
      </w:r>
      <w:r>
        <w:rPr>
          <w:rFonts w:hint="eastAsia" w:eastAsia="仿宋_GB2312"/>
          <w:sz w:val="32"/>
          <w:szCs w:val="32"/>
        </w:rPr>
        <w:t>年</w:t>
      </w:r>
      <w:r>
        <w:rPr>
          <w:rFonts w:eastAsia="仿宋_GB2312"/>
          <w:sz w:val="32"/>
          <w:szCs w:val="32"/>
        </w:rPr>
        <w:t>8</w:t>
      </w:r>
      <w:r>
        <w:rPr>
          <w:rFonts w:hint="eastAsia" w:eastAsia="仿宋_GB2312"/>
          <w:sz w:val="32"/>
          <w:szCs w:val="32"/>
        </w:rPr>
        <w:t>月正式取得中医医疗执业许可证，是君山区集医疗、保健、教学为一体的非盈利性二级中医医院。为君山区人民提供中医为主、中西结合、预防、保健、计划生育、康复等医疗服务。</w:t>
      </w:r>
    </w:p>
    <w:p>
      <w:pPr>
        <w:spacing w:line="570" w:lineRule="atLeast"/>
        <w:ind w:firstLine="643" w:firstLineChars="200"/>
        <w:rPr>
          <w:rFonts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（二）机构设置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eastAsia="仿宋_GB2312"/>
          <w:sz w:val="32"/>
          <w:szCs w:val="32"/>
          <w:lang w:val="en-US" w:eastAsia="zh-CN"/>
        </w:rPr>
        <w:t>岳阳市君山区中医院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内设机构5个,内设机构包括：</w:t>
      </w:r>
      <w:r>
        <w:rPr>
          <w:rFonts w:hint="eastAsia" w:eastAsia="仿宋_GB2312"/>
          <w:sz w:val="32"/>
          <w:szCs w:val="32"/>
        </w:rPr>
        <w:t>门诊、住院、医技、公共卫生、行政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等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5个股室。</w:t>
      </w:r>
      <w:r>
        <w:rPr>
          <w:rFonts w:hint="eastAsia" w:eastAsia="仿宋_GB2312"/>
          <w:sz w:val="32"/>
          <w:szCs w:val="32"/>
        </w:rPr>
        <w:t>分设门诊、住院、医技、公共卫生、行政五大部分：门诊设中心药房、内、外、妇、五官、肠道、痔瘘等科室；住院部设康复科、治未病科、内</w:t>
      </w:r>
      <w:r>
        <w:rPr>
          <w:rFonts w:eastAsia="仿宋_GB2312"/>
          <w:sz w:val="32"/>
          <w:szCs w:val="32"/>
        </w:rPr>
        <w:t>1</w:t>
      </w:r>
      <w:r>
        <w:rPr>
          <w:rFonts w:hint="eastAsia" w:eastAsia="仿宋_GB2312"/>
          <w:sz w:val="32"/>
          <w:szCs w:val="32"/>
        </w:rPr>
        <w:t>科、内</w:t>
      </w:r>
      <w:r>
        <w:rPr>
          <w:rFonts w:eastAsia="仿宋_GB2312"/>
          <w:sz w:val="32"/>
          <w:szCs w:val="32"/>
        </w:rPr>
        <w:t>2</w:t>
      </w:r>
      <w:r>
        <w:rPr>
          <w:rFonts w:hint="eastAsia" w:eastAsia="仿宋_GB2312"/>
          <w:sz w:val="32"/>
          <w:szCs w:val="32"/>
        </w:rPr>
        <w:t>科、外科（骨伤科）、妇产科、儿科、血透科、针灸推拿科、麻醉科等科室，医技设检验、生化、放射（</w:t>
      </w:r>
      <w:r>
        <w:rPr>
          <w:rFonts w:eastAsia="仿宋_GB2312"/>
          <w:sz w:val="32"/>
          <w:szCs w:val="32"/>
        </w:rPr>
        <w:t>DR</w:t>
      </w:r>
      <w:r>
        <w:rPr>
          <w:rFonts w:hint="eastAsia" w:eastAsia="仿宋_GB2312"/>
          <w:sz w:val="32"/>
          <w:szCs w:val="32"/>
        </w:rPr>
        <w:t>、</w:t>
      </w:r>
      <w:r>
        <w:rPr>
          <w:rFonts w:eastAsia="仿宋_GB2312"/>
          <w:sz w:val="32"/>
          <w:szCs w:val="32"/>
        </w:rPr>
        <w:t>CT</w:t>
      </w:r>
      <w:r>
        <w:rPr>
          <w:rFonts w:hint="eastAsia" w:eastAsia="仿宋_GB2312"/>
          <w:sz w:val="32"/>
          <w:szCs w:val="32"/>
        </w:rPr>
        <w:t>）、超声、心电图、多普勒等。在康复、内科、针灸推拿、中医等专科领域颇具特色。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 xml:space="preserve">    </w:t>
      </w:r>
    </w:p>
    <w:p>
      <w:pPr>
        <w:ind w:firstLine="643" w:firstLineChars="200"/>
        <w:rPr>
          <w:rFonts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二、部门预算单位构成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bookmarkStart w:id="0" w:name="DEPT_COMPOSE"/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岳阳市君山区中医医院只有本级，没有其他二级预算单位，因此，纳入2024年部门预算编制范围的只有岳阳市君山区中医医院本级。</w:t>
      </w:r>
      <w:bookmarkEnd w:id="0"/>
    </w:p>
    <w:p>
      <w:pPr>
        <w:ind w:firstLine="643" w:firstLineChars="200"/>
        <w:rPr>
          <w:rFonts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三、部门收支总体情况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本单位2024年没有政府性基金预算拨款、国有资本经营预算收入和纳入专户管理的非税收入拨款收入，也没有使用政府性基金预算拨款、国有资本经营预算收入和纳入专户管理的非税收入拨款安排的支出，所以部门预算公开表15、16、17、18、19表均为空。</w:t>
      </w:r>
    </w:p>
    <w:p>
      <w:pPr>
        <w:numPr>
          <w:ilvl w:val="0"/>
          <w:numId w:val="1"/>
        </w:numPr>
        <w:spacing w:line="570" w:lineRule="atLeast"/>
        <w:ind w:firstLine="643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收入预算：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包括一般公共预算、政府性基金、国有资本经营预算等财政拨款收入，以及经营收入、事业收入等单位资金。2024年本单位收入预算543.53万元，其中，一般公共预算拨款543.53万元，政府性基金预算资金0.00万元(所以部门预算公开表15-17表为空)，国有资本经营预算资金0.00万元(所以部门预算公开表18表为空)，财政专户管理资金0.00万元(所以部门预算公开表19表为空)，上级补助收入资金0.00万元，事业单位经营收入资金0.00万元，上年结转结余0.00万元。收入较上年减少142.14万元，下降20.73%。主要原因是在编在岗人员数量变动及基础绩效发放方式改变，从而导致人员经费减少。</w:t>
      </w:r>
    </w:p>
    <w:p>
      <w:pPr>
        <w:pStyle w:val="2"/>
        <w:ind w:firstLine="0"/>
      </w:pPr>
      <w:r>
        <w:drawing>
          <wp:inline distT="0" distB="0" distL="0" distR="0">
            <wp:extent cx="5274310" cy="3076575"/>
            <wp:effectExtent l="19050" t="0" r="21590" b="0"/>
            <wp:docPr id="1" name="图表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>
      <w:pPr>
        <w:pStyle w:val="2"/>
        <w:ind w:firstLine="0"/>
      </w:pPr>
    </w:p>
    <w:p>
      <w:pPr>
        <w:numPr>
          <w:ilvl w:val="0"/>
          <w:numId w:val="1"/>
        </w:numPr>
        <w:spacing w:line="570" w:lineRule="atLeast"/>
        <w:ind w:firstLine="643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支出预算：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2024年本单位支出预算543.53万元，其中：社会保障和就业支出188.48万元，卫生健康支出343.05万元，节能环保支出12万元。支出较上年减少142.14万元，下降20.73%。主要原因是在编在岗人员数量变动、基础绩效发放方式改变，从而导致人员经费预算支出减少。</w:t>
      </w:r>
    </w:p>
    <w:p>
      <w:pPr>
        <w:pStyle w:val="2"/>
      </w:pPr>
      <w:r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drawing>
          <wp:inline distT="0" distB="0" distL="0" distR="0">
            <wp:extent cx="5274310" cy="3076575"/>
            <wp:effectExtent l="6350" t="6350" r="15240" b="22225"/>
            <wp:docPr id="3" name="图表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>
      <w:pPr>
        <w:pStyle w:val="2"/>
        <w:ind w:firstLine="0"/>
      </w:pPr>
    </w:p>
    <w:p>
      <w:pPr>
        <w:ind w:firstLine="643" w:firstLineChars="200"/>
        <w:rPr>
          <w:rFonts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四、一般公共预算拨款支出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2024年本单位一般公共预算拨款支出543.53万元，其中：社会保障和就业支出188.48万元，占34.67%；卫生健康支出343.05万元，占63.12%；节能环保支出12万元，占2.21%。具体安排情况如下：</w:t>
      </w:r>
    </w:p>
    <w:p>
      <w:pPr>
        <w:spacing w:line="570" w:lineRule="atLeast"/>
        <w:ind w:firstLine="643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（一）基本支出：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2024年本单位基本支出预算数531.53万元，主要是为保障单位正常运转、完成日常工作任务而发生的各项支出，包括用于基本工资、津贴补贴等人员经费以及办公费、印刷费、水电费、办公设备购置等公用经费。</w:t>
      </w:r>
    </w:p>
    <w:p>
      <w:pPr>
        <w:spacing w:line="570" w:lineRule="atLeast"/>
        <w:ind w:firstLine="643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（二）项目支出：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2024年本单位项目支出预算12万元，主要是本单位为完成特定工作任务或事业发展目标而发生的支出，包括有关事业发展专项、专项业务费、基本建设支出等，其中：节能环保支出12万元，主要用于医疗废弃物处置等方面。</w:t>
      </w:r>
    </w:p>
    <w:p>
      <w:pPr>
        <w:ind w:firstLine="643" w:firstLineChars="200"/>
        <w:rPr>
          <w:rFonts w:asciiTheme="minorEastAsia" w:hAnsiTheme="minorEastAsia" w:cstheme="minorEastAsia"/>
          <w:b/>
          <w:bCs/>
          <w:sz w:val="28"/>
          <w:szCs w:val="28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五、政府性基金预算支出</w:t>
      </w:r>
    </w:p>
    <w:p>
      <w:pPr>
        <w:ind w:firstLine="640" w:firstLineChars="200"/>
        <w:rPr>
          <w:rFonts w:asciiTheme="minorEastAsia" w:hAnsiTheme="minorEastAsia" w:cstheme="minorEastAsia"/>
          <w:color w:val="333333"/>
          <w:sz w:val="28"/>
          <w:szCs w:val="28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2024年度本单位无政府性基金安排的支出，所以公开的附件15-17（政府性基金预算）为空。</w:t>
      </w:r>
    </w:p>
    <w:p>
      <w:pPr>
        <w:ind w:firstLine="643" w:firstLineChars="200"/>
        <w:rPr>
          <w:rFonts w:asciiTheme="minorEastAsia" w:hAnsiTheme="minorEastAsia" w:cstheme="minorEastAsia"/>
          <w:b/>
          <w:bCs/>
          <w:sz w:val="28"/>
          <w:szCs w:val="28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六、其他重要事项的情况说明</w:t>
      </w:r>
    </w:p>
    <w:p>
      <w:pPr>
        <w:ind w:firstLine="643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（一）机关运行经费：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2024年岳阳市君山区中医医院运行经费0万元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eastAsia="zh-CN"/>
        </w:rPr>
        <w:t>，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2024年度本单位无机关运行经费安排的支出。</w:t>
      </w:r>
    </w:p>
    <w:p>
      <w:pPr>
        <w:ind w:firstLine="643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（二）“三公”经费预算：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2024年本单位“三公”经费预算数为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0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万元，其中，公务接待费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0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万元，公务用车购置及运行费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0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万元（其中，公务用车购置费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0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万元，公务用车运行费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0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万元），因公出国（境）费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0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万元。2024年“三公”经费预算较2023年持平，主要原因是主要是严格落实中央“八项规定”精神和“过紧日子”的要求，从严控制“三公”经费支出。</w:t>
      </w:r>
      <w:bookmarkStart w:id="1" w:name="START_IS_ZERO_06_2"/>
      <w:bookmarkEnd w:id="1"/>
      <w:bookmarkStart w:id="2" w:name="END_IS_ZERO_06_2"/>
      <w:bookmarkEnd w:id="2"/>
      <w:bookmarkStart w:id="3" w:name="DIS_MARK_IS_ZERO_06_2"/>
      <w:bookmarkEnd w:id="3"/>
      <w:bookmarkStart w:id="4" w:name="END_IS_ZERO_06_1"/>
      <w:bookmarkEnd w:id="4"/>
    </w:p>
    <w:p>
      <w:pPr>
        <w:ind w:firstLine="643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（三）一般性支出情况：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2024年本单位会议费预算0万元，拟召开0次会议，人数0人；培训费预算0万元，拟开展0次培训，人数0人；2024年度本</w:t>
      </w:r>
      <w:r>
        <w:rPr>
          <w:rFonts w:hint="eastAsia" w:ascii="仿宋_GB2312" w:hAnsi="仿宋_GB2312" w:eastAsia="仿宋_GB2312" w:cs="仿宋_GB2312"/>
          <w:color w:val="000000"/>
          <w:sz w:val="36"/>
          <w:szCs w:val="36"/>
          <w:shd w:val="clear" w:color="auto" w:fill="FFFFFF"/>
        </w:rPr>
        <w:t>部门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未计划举办节庆、晚会、论坛、赛事活动。</w:t>
      </w:r>
    </w:p>
    <w:p>
      <w:pPr>
        <w:ind w:firstLine="643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（四）政府采购情况：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2024年本单位政府采购预算总额12万元，其中，货物类采购预算0万元；工程类采购预算0万元；服务类采购预算12万元。</w:t>
      </w:r>
    </w:p>
    <w:p>
      <w:pPr>
        <w:ind w:firstLine="643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（五）国有资产占用使用及新增资产配置情况：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截至2023年12月底，本单位共有公务用车4辆，其中，机要通信用车0辆，应急保障用车0辆，执法执勤用车0辆，特种专业技术用车4辆，其他按照规定配备的公务用车0辆；单位价值50万元以上设备4台，其中，单位价值100万元以上设备0台。</w:t>
      </w:r>
    </w:p>
    <w:p>
      <w:pPr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2024年拟新增配置公务用车0辆，其中，机要通信用车0辆，应急保障用车0辆，执法执勤用车0辆，特种专业技术用车0辆，其他按照规定配备的公务用车0辆；新增配备单位价值50万元以上设备0台，其中，单位价值100万元以上设备0台。</w:t>
      </w:r>
    </w:p>
    <w:p>
      <w:pPr>
        <w:ind w:firstLine="643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（六）预算绩效目标说明：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本单位所有支出实行绩效目标管理。纳入2024年单位整体支出绩效目标的金额为543.53万元，其中，基本支出531.53万元，项目支出12万元，具体绩效目标详见文尾附表中部门预算公开表21-22表。</w:t>
      </w:r>
    </w:p>
    <w:p>
      <w:pPr>
        <w:ind w:firstLine="643" w:firstLineChars="200"/>
        <w:rPr>
          <w:rFonts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七、名词解释</w:t>
      </w:r>
    </w:p>
    <w:p>
      <w:pPr>
        <w:ind w:firstLine="643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1．机关运行经费：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</w:t>
      </w:r>
    </w:p>
    <w:p>
      <w:pPr>
        <w:ind w:firstLine="643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2．“三公”经费：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纳入省（市/县）财政预算管理的“三公“经费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公出国（境）费反映单位公务出国（境）的国际旅费、国外城市间交通费、住宿费、伙食费、培训费、公杂费等支出。</w:t>
      </w:r>
    </w:p>
    <w:p>
      <w:pPr>
        <w:pStyle w:val="6"/>
        <w:widowControl/>
        <w:spacing w:beforeAutospacing="0" w:afterAutospacing="0" w:line="22" w:lineRule="atLeast"/>
        <w:jc w:val="center"/>
        <w:textAlignment w:val="center"/>
        <w:rPr>
          <w:rFonts w:ascii="方正小标宋简体" w:hAnsi="Times New Roman" w:eastAsia="方正小标宋简体"/>
          <w:b/>
          <w:bCs/>
          <w:sz w:val="36"/>
          <w:szCs w:val="36"/>
        </w:rPr>
      </w:pPr>
    </w:p>
    <w:p>
      <w:pPr>
        <w:pStyle w:val="6"/>
        <w:widowControl/>
        <w:spacing w:beforeAutospacing="0" w:afterAutospacing="0" w:line="22" w:lineRule="atLeast"/>
        <w:jc w:val="center"/>
        <w:textAlignment w:val="center"/>
        <w:rPr>
          <w:rFonts w:ascii="方正小标宋简体" w:hAnsi="Times New Roman" w:eastAsia="方正小标宋简体"/>
          <w:b/>
          <w:bCs/>
          <w:sz w:val="36"/>
          <w:szCs w:val="36"/>
        </w:rPr>
      </w:pPr>
    </w:p>
    <w:p>
      <w:pPr>
        <w:pStyle w:val="6"/>
        <w:widowControl/>
        <w:spacing w:beforeAutospacing="0" w:afterAutospacing="0" w:line="22" w:lineRule="atLeast"/>
        <w:jc w:val="center"/>
        <w:textAlignment w:val="center"/>
        <w:rPr>
          <w:rFonts w:ascii="方正小标宋简体" w:hAnsi="Times New Roman" w:eastAsia="方正小标宋简体"/>
          <w:b/>
          <w:bCs/>
          <w:sz w:val="36"/>
          <w:szCs w:val="36"/>
        </w:rPr>
      </w:pPr>
      <w:bookmarkStart w:id="5" w:name="_GoBack"/>
      <w:bookmarkEnd w:id="5"/>
    </w:p>
    <w:p>
      <w:pPr>
        <w:pStyle w:val="6"/>
        <w:widowControl/>
        <w:spacing w:beforeAutospacing="0" w:afterAutospacing="0" w:line="22" w:lineRule="atLeast"/>
        <w:jc w:val="center"/>
        <w:textAlignment w:val="center"/>
        <w:rPr>
          <w:rFonts w:ascii="方正小标宋简体" w:hAnsi="Times New Roman" w:eastAsia="方正小标宋简体"/>
          <w:b/>
          <w:bCs/>
          <w:sz w:val="36"/>
          <w:szCs w:val="36"/>
        </w:rPr>
      </w:pPr>
      <w:r>
        <w:rPr>
          <w:rFonts w:hint="eastAsia" w:ascii="方正小标宋简体" w:hAnsi="Times New Roman" w:eastAsia="方正小标宋简体"/>
          <w:b/>
          <w:bCs/>
          <w:sz w:val="36"/>
          <w:szCs w:val="36"/>
        </w:rPr>
        <w:t>第二部分  2024年部门预算公开表格</w:t>
      </w:r>
    </w:p>
    <w:p>
      <w:pPr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</w:p>
    <w:p>
      <w:pPr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</w:p>
    <w:p>
      <w:pPr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</w:p>
    <w:p>
      <w:pPr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</w:p>
    <w:p>
      <w:pPr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</w:p>
    <w:p>
      <w:pPr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</w:p>
    <w:p>
      <w:pPr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</w:p>
    <w:p>
      <w:pPr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</w:p>
    <w:p>
      <w:pPr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注：以上部门预算公开报表中，空表表示本单位无相关收支情况。</w:t>
      </w:r>
    </w:p>
    <w:p>
      <w:pPr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</w:p>
    <w:p>
      <w:pPr>
        <w:ind w:firstLine="643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附件：岳阳市君山区中医医院2024年部门预算公开表</w:t>
      </w:r>
    </w:p>
    <w:p>
      <w:pPr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仿宋_GB2312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altName w:val="微软雅黑"/>
    <w:panose1 w:val="00000000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7CC3CBB"/>
    <w:multiLevelType w:val="singleLevel"/>
    <w:tmpl w:val="57CC3CBB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Mjk0MzkxYTllNGUzYWMwZmMyNjFiNTViYzNiYzdlYTAifQ=="/>
    <w:docVar w:name="KSO_WPS_MARK_KEY" w:val="165a9404-63c7-4418-8521-15f3ec0c4147"/>
  </w:docVars>
  <w:rsids>
    <w:rsidRoot w:val="637274E6"/>
    <w:rsid w:val="00301EC3"/>
    <w:rsid w:val="00311071"/>
    <w:rsid w:val="004D241A"/>
    <w:rsid w:val="005D448C"/>
    <w:rsid w:val="006F36A4"/>
    <w:rsid w:val="007F54E4"/>
    <w:rsid w:val="00845C06"/>
    <w:rsid w:val="0089746D"/>
    <w:rsid w:val="009F4D33"/>
    <w:rsid w:val="00A51E3A"/>
    <w:rsid w:val="00AD0736"/>
    <w:rsid w:val="00B33D48"/>
    <w:rsid w:val="00B66A49"/>
    <w:rsid w:val="00BA2D65"/>
    <w:rsid w:val="00C029DC"/>
    <w:rsid w:val="00E63BD7"/>
    <w:rsid w:val="00E92360"/>
    <w:rsid w:val="00F3252F"/>
    <w:rsid w:val="01EC3E90"/>
    <w:rsid w:val="02140C7A"/>
    <w:rsid w:val="03C76AB7"/>
    <w:rsid w:val="046523F8"/>
    <w:rsid w:val="088363E7"/>
    <w:rsid w:val="0AD8381E"/>
    <w:rsid w:val="0B172D74"/>
    <w:rsid w:val="0B5218A1"/>
    <w:rsid w:val="0B653E82"/>
    <w:rsid w:val="0E042561"/>
    <w:rsid w:val="0F2A3A2C"/>
    <w:rsid w:val="10797237"/>
    <w:rsid w:val="16042156"/>
    <w:rsid w:val="16247C45"/>
    <w:rsid w:val="167C1082"/>
    <w:rsid w:val="192632E6"/>
    <w:rsid w:val="1B6F1962"/>
    <w:rsid w:val="1C744CBF"/>
    <w:rsid w:val="1C914169"/>
    <w:rsid w:val="1F572E39"/>
    <w:rsid w:val="1F8154A2"/>
    <w:rsid w:val="20034AD4"/>
    <w:rsid w:val="22767EB0"/>
    <w:rsid w:val="22861ED8"/>
    <w:rsid w:val="27562CA6"/>
    <w:rsid w:val="286F1B1C"/>
    <w:rsid w:val="28D728F5"/>
    <w:rsid w:val="2A5727A7"/>
    <w:rsid w:val="2B3247EE"/>
    <w:rsid w:val="2DC518B5"/>
    <w:rsid w:val="2E9372BE"/>
    <w:rsid w:val="30F54535"/>
    <w:rsid w:val="328F1D91"/>
    <w:rsid w:val="36214EDF"/>
    <w:rsid w:val="395E7E49"/>
    <w:rsid w:val="398C704B"/>
    <w:rsid w:val="3A486D41"/>
    <w:rsid w:val="3CB10683"/>
    <w:rsid w:val="3E4B1963"/>
    <w:rsid w:val="40731651"/>
    <w:rsid w:val="40BA4B7E"/>
    <w:rsid w:val="42E3660E"/>
    <w:rsid w:val="4601059C"/>
    <w:rsid w:val="4602087F"/>
    <w:rsid w:val="4748485A"/>
    <w:rsid w:val="4AFC64BF"/>
    <w:rsid w:val="4BBE358A"/>
    <w:rsid w:val="4E514D65"/>
    <w:rsid w:val="4EE728E7"/>
    <w:rsid w:val="4F0307B2"/>
    <w:rsid w:val="4F302902"/>
    <w:rsid w:val="52077AEA"/>
    <w:rsid w:val="55E76771"/>
    <w:rsid w:val="58AA6296"/>
    <w:rsid w:val="58AF2EC0"/>
    <w:rsid w:val="5A13112F"/>
    <w:rsid w:val="5BC30933"/>
    <w:rsid w:val="5DC12353"/>
    <w:rsid w:val="60B42209"/>
    <w:rsid w:val="637274E6"/>
    <w:rsid w:val="63E65795"/>
    <w:rsid w:val="65B57FA7"/>
    <w:rsid w:val="675A13CF"/>
    <w:rsid w:val="682C3048"/>
    <w:rsid w:val="6B1B73BC"/>
    <w:rsid w:val="6EDA0C1F"/>
    <w:rsid w:val="6F4B168B"/>
    <w:rsid w:val="6FF135D4"/>
    <w:rsid w:val="70F118E0"/>
    <w:rsid w:val="71704C61"/>
    <w:rsid w:val="719F6C19"/>
    <w:rsid w:val="78CC0C1A"/>
    <w:rsid w:val="7AE949AB"/>
    <w:rsid w:val="7D266D66"/>
    <w:rsid w:val="7D5469F3"/>
    <w:rsid w:val="7DD82E4A"/>
    <w:rsid w:val="7E7E59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/>
    </w:pPr>
    <w:rPr>
      <w:szCs w:val="20"/>
    </w:rPr>
  </w:style>
  <w:style w:type="paragraph" w:styleId="3">
    <w:name w:val="Balloon Text"/>
    <w:basedOn w:val="1"/>
    <w:link w:val="12"/>
    <w:qFormat/>
    <w:uiPriority w:val="0"/>
    <w:rPr>
      <w:sz w:val="18"/>
      <w:szCs w:val="18"/>
    </w:rPr>
  </w:style>
  <w:style w:type="paragraph" w:styleId="4">
    <w:name w:val="footer"/>
    <w:basedOn w:val="1"/>
    <w:link w:val="1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9">
    <w:name w:val="Hyperlink"/>
    <w:basedOn w:val="8"/>
    <w:qFormat/>
    <w:uiPriority w:val="0"/>
    <w:rPr>
      <w:color w:val="0000FF"/>
      <w:u w:val="single"/>
    </w:rPr>
  </w:style>
  <w:style w:type="character" w:customStyle="1" w:styleId="10">
    <w:name w:val="页眉 Char"/>
    <w:basedOn w:val="8"/>
    <w:link w:val="5"/>
    <w:uiPriority w:val="0"/>
    <w:rPr>
      <w:kern w:val="2"/>
      <w:sz w:val="18"/>
      <w:szCs w:val="18"/>
    </w:rPr>
  </w:style>
  <w:style w:type="character" w:customStyle="1" w:styleId="11">
    <w:name w:val="页脚 Char"/>
    <w:basedOn w:val="8"/>
    <w:link w:val="4"/>
    <w:qFormat/>
    <w:uiPriority w:val="0"/>
    <w:rPr>
      <w:kern w:val="2"/>
      <w:sz w:val="18"/>
      <w:szCs w:val="18"/>
    </w:rPr>
  </w:style>
  <w:style w:type="character" w:customStyle="1" w:styleId="12">
    <w:name w:val="批注框文本 Char"/>
    <w:basedOn w:val="8"/>
    <w:link w:val="3"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2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chart" Target="charts/chart2.xml"/><Relationship Id="rId4" Type="http://schemas.openxmlformats.org/officeDocument/2006/relationships/chart" Target="charts/chart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Workbook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Workbook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layout/>
      <c:overlay val="0"/>
      <c:txPr>
        <a:bodyPr rot="0" spcFirstLastPara="0" vertOverflow="ellipsis" vert="horz" wrap="square" anchor="ctr" anchorCtr="1"/>
        <a:lstStyle/>
        <a:p>
          <a:pPr>
            <a:defRPr lang="zh-CN" sz="1800" b="1" i="0" u="none" strike="noStrike" kern="1200" baseline="0">
              <a:solidFill>
                <a:schemeClr val="tx1"/>
              </a:solidFill>
              <a:latin typeface="+mn-lt"/>
              <a:ea typeface="+mn-ea"/>
              <a:cs typeface="+mn-cs"/>
            </a:defRPr>
          </a:pPr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收入预算图</c:v>
                </c:pt>
              </c:strCache>
            </c:strRef>
          </c:tx>
          <c:explosion val="0"/>
          <c:dPt>
            <c:idx val="0"/>
            <c:bubble3D val="0"/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tx1"/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extLst>
              <c:ext xmlns:c15="http://schemas.microsoft.com/office/drawing/2012/chart" uri="{CE6537A1-D6FC-4f65-9D91-7224C49458BB}">
                <c15:layout/>
                <c15:showLeaderLines val="1"/>
                <c15:leaderLines/>
              </c:ext>
            </c:extLst>
          </c:dLbls>
          <c:cat>
            <c:strRef>
              <c:f>Sheet1!$A$2</c:f>
              <c:strCache>
                <c:ptCount val="1"/>
                <c:pt idx="0">
                  <c:v>一般公共预算拨款收入</c:v>
                </c:pt>
              </c:strCache>
            </c:strRef>
          </c:cat>
          <c:val>
            <c:numRef>
              <c:f>Sheet1!$B$2</c:f>
              <c:numCache>
                <c:formatCode>0%</c:formatCode>
                <c:ptCount val="1"/>
                <c:pt idx="0">
                  <c:v>1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</c:plotArea>
    <c:legend>
      <c:legendPos val="r"/>
      <c:layout/>
      <c:overlay val="0"/>
      <c:txPr>
        <a:bodyPr rot="0" spcFirstLastPara="0" vertOverflow="ellipsis" vert="horz" wrap="square" anchor="ctr" anchorCtr="1"/>
        <a:lstStyle/>
        <a:p>
          <a:pPr>
            <a:defRPr lang="zh-CN" sz="1000" b="0" i="0" u="none" strike="noStrike" kern="1200" baseline="0">
              <a:solidFill>
                <a:schemeClr val="tx1"/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txPr>
    <a:bodyPr/>
    <a:lstStyle/>
    <a:p>
      <a:pPr>
        <a:defRPr lang="zh-CN"/>
      </a:pPr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layout/>
      <c:overlay val="0"/>
      <c:txPr>
        <a:bodyPr rot="0" spcFirstLastPara="0" vertOverflow="ellipsis" vert="horz" wrap="square" anchor="ctr" anchorCtr="1"/>
        <a:lstStyle/>
        <a:p>
          <a:pPr>
            <a:defRPr lang="zh-CN" sz="1800" b="1" i="0" u="none" strike="noStrike" kern="1200" baseline="0">
              <a:solidFill>
                <a:schemeClr val="tx1"/>
              </a:solidFill>
              <a:latin typeface="+mn-lt"/>
              <a:ea typeface="+mn-ea"/>
              <a:cs typeface="+mn-cs"/>
            </a:defRPr>
          </a:pPr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支出预算图</c:v>
                </c:pt>
              </c:strCache>
            </c:strRef>
          </c:tx>
          <c:explosion val="0"/>
          <c:dPt>
            <c:idx val="0"/>
            <c:bubble3D val="0"/>
          </c:dPt>
          <c:dPt>
            <c:idx val="1"/>
            <c:bubble3D val="0"/>
          </c:dPt>
          <c:dPt>
            <c:idx val="2"/>
            <c:bubble3D val="0"/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tx1"/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extLst>
              <c:ext xmlns:c15="http://schemas.microsoft.com/office/drawing/2012/chart" uri="{CE6537A1-D6FC-4f65-9D91-7224C49458BB}">
                <c15:layout/>
                <c15:showLeaderLines val="1"/>
                <c15:leaderLines/>
              </c:ext>
            </c:extLst>
          </c:dLbls>
          <c:cat>
            <c:strRef>
              <c:f>Sheet1!$A$2:$A$4</c:f>
              <c:strCache>
                <c:ptCount val="3"/>
                <c:pt idx="0">
                  <c:v>社会保障和就业支出</c:v>
                </c:pt>
                <c:pt idx="1">
                  <c:v>卫生健康支出</c:v>
                </c:pt>
                <c:pt idx="2">
                  <c:v>节能环保支出</c:v>
                </c:pt>
              </c:strCache>
            </c:strRef>
          </c:cat>
          <c:val>
            <c:numRef>
              <c:f>Sheet1!$B$2:$B$4</c:f>
              <c:numCache>
                <c:formatCode>0.00%</c:formatCode>
                <c:ptCount val="3"/>
                <c:pt idx="0">
                  <c:v>0.3467</c:v>
                </c:pt>
                <c:pt idx="1">
                  <c:v>0.6312</c:v>
                </c:pt>
                <c:pt idx="2">
                  <c:v>0.0221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</c:plotArea>
    <c:legend>
      <c:legendPos val="r"/>
      <c:layout/>
      <c:overlay val="0"/>
      <c:txPr>
        <a:bodyPr rot="0" spcFirstLastPara="0" vertOverflow="ellipsis" vert="horz" wrap="square" anchor="ctr" anchorCtr="1"/>
        <a:lstStyle/>
        <a:p>
          <a:pPr>
            <a:defRPr lang="zh-CN" sz="1000" b="0" i="0" u="none" strike="noStrike" kern="1200" baseline="0">
              <a:solidFill>
                <a:schemeClr val="tx1"/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txPr>
    <a:bodyPr/>
    <a:lstStyle/>
    <a:p>
      <a:pPr>
        <a:defRPr lang="zh-CN"/>
      </a:pPr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27A66E1-CA0A-431A-8C3B-409A1D2F220B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Far123</Company>
  <Pages>12</Pages>
  <Words>3641</Words>
  <Characters>3907</Characters>
  <Lines>28</Lines>
  <Paragraphs>7</Paragraphs>
  <TotalTime>2</TotalTime>
  <ScaleCrop>false</ScaleCrop>
  <LinksUpToDate>false</LinksUpToDate>
  <CharactersWithSpaces>3920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2024-05-27T05:59:00Z</dcterms:created>
  <dc:creator>dell</dc:creator>
  <cp:lastModifiedBy>Administrator</cp:lastModifiedBy>
  <cp:lastPrinted>2024-05-28T00:49:00Z</cp:lastPrinted>
  <dcterms:modified xsi:type="dcterms:W3CDTF">2024-06-23T03:08:35Z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4B589B6B695C4DC7952F61D9C4C27BB6_13</vt:lpwstr>
  </property>
</Properties>
</file>