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岳阳市君山区妇幼保健院</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lang w:val="en-US" w:eastAsia="zh-CN"/>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ind w:firstLine="643" w:firstLineChars="200"/>
        <w:rPr>
          <w:rFonts w:hint="eastAsia" w:ascii="Times New Roman" w:hAnsi="Times New Roman" w:eastAsia="黑体" w:cs="Times New Roman"/>
          <w:b/>
          <w:bCs/>
          <w:kern w:val="0"/>
          <w:sz w:val="32"/>
          <w:szCs w:val="32"/>
        </w:rPr>
      </w:pPr>
    </w:p>
    <w:p>
      <w:pPr>
        <w:ind w:firstLine="643" w:firstLineChars="200"/>
        <w:rPr>
          <w:rFonts w:hint="eastAsia" w:asciiTheme="minorEastAsia" w:hAnsiTheme="minorEastAsia" w:eastAsiaTheme="minorEastAsia" w:cstheme="minorEastAsia"/>
          <w:b/>
          <w:bCs/>
          <w:sz w:val="28"/>
          <w:szCs w:val="28"/>
        </w:rPr>
      </w:pPr>
      <w:r>
        <w:rPr>
          <w:rFonts w:hint="eastAsia" w:ascii="Times New Roman" w:hAnsi="Times New Roman" w:eastAsia="黑体" w:cs="Times New Roman"/>
          <w:b/>
          <w:bCs/>
          <w:kern w:val="0"/>
          <w:sz w:val="32"/>
          <w:szCs w:val="32"/>
        </w:rPr>
        <w:t>一、</w:t>
      </w:r>
      <w:r>
        <w:rPr>
          <w:rFonts w:hint="eastAsia" w:ascii="Times New Roman" w:hAnsi="Times New Roman" w:eastAsia="黑体" w:cs="Times New Roman"/>
          <w:b/>
          <w:bCs/>
          <w:kern w:val="0"/>
          <w:sz w:val="32"/>
          <w:szCs w:val="32"/>
          <w:lang w:val="en-US" w:eastAsia="zh-CN"/>
        </w:rPr>
        <w:t>部门</w:t>
      </w:r>
      <w:r>
        <w:rPr>
          <w:rFonts w:hint="eastAsia" w:ascii="Times New Roman" w:hAnsi="Times New Roman" w:eastAsia="黑体" w:cs="Times New Roman"/>
          <w:b/>
          <w:bCs/>
          <w:kern w:val="0"/>
          <w:sz w:val="32"/>
          <w:szCs w:val="32"/>
        </w:rPr>
        <w:t>基本概况</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（一）职能职责</w:t>
      </w:r>
    </w:p>
    <w:p>
      <w:pPr>
        <w:ind w:firstLine="640" w:firstLineChars="200"/>
        <w:rPr>
          <w:rFonts w:hint="eastAsia" w:ascii="仿宋_GB2312" w:eastAsia="仿宋_GB2312"/>
          <w:sz w:val="32"/>
          <w:szCs w:val="32"/>
        </w:rPr>
      </w:pPr>
      <w:r>
        <w:rPr>
          <w:rFonts w:hint="eastAsia" w:ascii="仿宋_GB2312" w:eastAsia="仿宋_GB2312"/>
          <w:sz w:val="32"/>
          <w:szCs w:val="32"/>
        </w:rPr>
        <w:t>承担辖区内妇女保健和妇女常见病防治服务、儿童保健和儿童常见病防治服务、围产保健和助产技术服务、出生缺陷防治服务、妇幼保健和计划生育技术服务信息管理与服务质量监测等工作；承担计划生育技术服务、优生指导、信息咨询、随访服务、生殖保健、人员培训等工作；开展优生遗传的服务和咨询以及计划生育节育新技术的推广和应用工作；做好节育手术并发症、后遗症的诊断治疗和不孕症的鉴定工作；落实妇幼重大公共卫生服务项目和国家免费孕前优生健康检查等计划生育技术服务项目；受卫生计生行政部门委托，承担辖区内妇幼保健计划生育技术服务业务管理、培训和技术支持工作；承担区委、区政府和上级主管部门交办的其它事项。</w:t>
      </w:r>
    </w:p>
    <w:p>
      <w:pPr>
        <w:spacing w:line="570" w:lineRule="atLeast"/>
        <w:ind w:firstLine="643" w:firstLineChars="200"/>
        <w:rPr>
          <w:rFonts w:hint="eastAsia" w:ascii="仿宋_GB2312" w:hAnsi="仿宋_GB2312" w:eastAsia="仿宋_GB2312" w:cs="仿宋_GB2312"/>
          <w:b/>
          <w:bCs/>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sz w:val="32"/>
          <w:szCs w:val="32"/>
          <w:highlight w:val="none"/>
          <w:shd w:val="clear" w:color="auto" w:fill="FFFFFF"/>
          <w:lang w:val="en-US" w:eastAsia="zh-CN"/>
        </w:rPr>
        <w:t>（</w:t>
      </w:r>
      <w:r>
        <w:rPr>
          <w:rFonts w:hint="eastAsia" w:ascii="仿宋_GB2312" w:hAnsi="仿宋_GB2312" w:eastAsia="仿宋_GB2312" w:cs="仿宋_GB2312"/>
          <w:b/>
          <w:bCs/>
          <w:color w:val="000000" w:themeColor="text1"/>
          <w:sz w:val="32"/>
          <w:szCs w:val="32"/>
          <w:highlight w:val="none"/>
          <w:shd w:val="clear" w:color="auto" w:fill="FFFFFF"/>
          <w:lang w:val="en-US" w:eastAsia="zh-CN"/>
          <w14:textFill>
            <w14:solidFill>
              <w14:schemeClr w14:val="tx1"/>
            </w14:solidFill>
          </w14:textFill>
        </w:rPr>
        <w:t>二）机构设置</w:t>
      </w:r>
    </w:p>
    <w:p>
      <w:pPr>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岳阳市君山区妇幼保健院内设机构9个，事业单位0个。内设机构包括：</w:t>
      </w:r>
      <w:r>
        <w:rPr>
          <w:rFonts w:hint="eastAsia" w:ascii="仿宋" w:hAnsi="仿宋" w:eastAsia="仿宋" w:cs="仿宋"/>
          <w:sz w:val="32"/>
          <w:szCs w:val="32"/>
        </w:rPr>
        <w:t>内儿科、妇产科、影像科、儿保科、保健部、药剂科、检验科、医务科、行政（含办公室、财务室、人事、后勤</w:t>
      </w:r>
      <w:r>
        <w:rPr>
          <w:rFonts w:hint="eastAsia" w:ascii="仿宋" w:hAnsi="仿宋" w:eastAsia="仿宋" w:cs="仿宋"/>
          <w:sz w:val="32"/>
          <w:szCs w:val="32"/>
          <w:lang w:eastAsia="zh-CN"/>
        </w:rPr>
        <w:t>）</w:t>
      </w:r>
      <w:r>
        <w:rPr>
          <w:rFonts w:hint="eastAsia" w:ascii="仿宋_GB2312" w:hAnsi="仿宋_GB2312" w:eastAsia="仿宋_GB2312" w:cs="仿宋_GB2312"/>
          <w:color w:val="000000"/>
          <w:sz w:val="32"/>
          <w:szCs w:val="32"/>
          <w:shd w:val="clear" w:color="auto" w:fill="FFFFFF"/>
          <w:lang w:val="en-US" w:eastAsia="zh-CN"/>
        </w:rPr>
        <w:t>等</w:t>
      </w:r>
      <w:r>
        <w:rPr>
          <w:rFonts w:hint="eastAsia" w:ascii="仿宋_GB2312" w:hAnsi="仿宋_GB2312" w:eastAsia="仿宋_GB2312" w:cs="仿宋_GB2312"/>
          <w:color w:val="000000"/>
          <w:sz w:val="32"/>
          <w:szCs w:val="32"/>
          <w:highlight w:val="none"/>
          <w:shd w:val="clear" w:color="auto" w:fill="FFFFFF"/>
          <w:lang w:val="en-US" w:eastAsia="zh-CN"/>
        </w:rPr>
        <w:t xml:space="preserve">9个股室。 </w:t>
      </w:r>
    </w:p>
    <w:p>
      <w:pPr>
        <w:ind w:firstLine="643" w:firstLineChars="200"/>
        <w:rPr>
          <w:rFonts w:hint="eastAsia" w:ascii="Times New Roman" w:hAnsi="Times New Roman" w:eastAsia="黑体" w:cs="Times New Roman"/>
          <w:b/>
          <w:bCs/>
          <w:kern w:val="0"/>
          <w:sz w:val="32"/>
          <w:szCs w:val="32"/>
          <w:highlight w:val="none"/>
          <w:lang w:val="en-US" w:eastAsia="zh-CN"/>
        </w:rPr>
      </w:pPr>
      <w:r>
        <w:rPr>
          <w:rFonts w:hint="eastAsia" w:ascii="Times New Roman" w:hAnsi="Times New Roman" w:eastAsia="黑体" w:cs="Times New Roman"/>
          <w:b/>
          <w:bCs/>
          <w:kern w:val="0"/>
          <w:sz w:val="32"/>
          <w:szCs w:val="32"/>
          <w:highlight w:val="none"/>
          <w:lang w:val="en-US" w:eastAsia="zh-CN"/>
        </w:rPr>
        <w:t>二、部门预算单位构成</w:t>
      </w:r>
    </w:p>
    <w:p>
      <w:pPr>
        <w:spacing w:line="570" w:lineRule="atLeast"/>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bookmarkStart w:id="0" w:name="DEPT_COMPOSE"/>
      <w:r>
        <w:rPr>
          <w:rFonts w:hint="eastAsia" w:ascii="仿宋_GB2312" w:hAnsi="仿宋_GB2312" w:eastAsia="仿宋_GB2312" w:cs="仿宋_GB2312"/>
          <w:color w:val="000000"/>
          <w:sz w:val="32"/>
          <w:szCs w:val="32"/>
          <w:shd w:val="clear" w:color="auto" w:fill="FFFFFF"/>
          <w:lang w:val="en-US" w:eastAsia="zh-CN"/>
        </w:rPr>
        <w:t>岳阳市君山区妇幼保健院</w:t>
      </w:r>
      <w:r>
        <w:rPr>
          <w:rFonts w:hint="eastAsia" w:ascii="仿宋_GB2312" w:hAnsi="仿宋_GB2312" w:eastAsia="仿宋_GB2312" w:cs="仿宋_GB2312"/>
          <w:color w:val="000000"/>
          <w:sz w:val="32"/>
          <w:szCs w:val="32"/>
          <w:highlight w:val="none"/>
          <w:shd w:val="clear" w:color="auto" w:fill="FFFFFF"/>
          <w:lang w:val="en-US" w:eastAsia="zh-CN"/>
        </w:rPr>
        <w:t>只有本级，没有其他二级预算单位，因此，纳入2024年部门预算编制范围的只有</w:t>
      </w:r>
      <w:r>
        <w:rPr>
          <w:rFonts w:hint="eastAsia" w:ascii="仿宋_GB2312" w:hAnsi="仿宋_GB2312" w:eastAsia="仿宋_GB2312" w:cs="仿宋_GB2312"/>
          <w:color w:val="000000"/>
          <w:sz w:val="32"/>
          <w:szCs w:val="32"/>
          <w:shd w:val="clear" w:color="auto" w:fill="FFFFFF"/>
          <w:lang w:val="en-US" w:eastAsia="zh-CN"/>
        </w:rPr>
        <w:t>岳阳市君山区妇幼保健院</w:t>
      </w:r>
      <w:r>
        <w:rPr>
          <w:rFonts w:hint="eastAsia" w:ascii="仿宋_GB2312" w:hAnsi="仿宋_GB2312" w:eastAsia="仿宋_GB2312" w:cs="仿宋_GB2312"/>
          <w:color w:val="000000"/>
          <w:sz w:val="32"/>
          <w:szCs w:val="32"/>
          <w:highlight w:val="none"/>
          <w:shd w:val="clear" w:color="auto" w:fill="FFFFFF"/>
          <w:lang w:val="en-US" w:eastAsia="zh-CN"/>
        </w:rPr>
        <w:t>本级。</w:t>
      </w:r>
      <w:bookmarkEnd w:id="0"/>
    </w:p>
    <w:p>
      <w:pPr>
        <w:ind w:firstLine="643" w:firstLineChars="200"/>
        <w:rPr>
          <w:rFonts w:hint="eastAsia" w:ascii="Times New Roman" w:hAnsi="Times New Roman" w:eastAsia="黑体" w:cs="Times New Roman"/>
          <w:b/>
          <w:bCs/>
          <w:kern w:val="0"/>
          <w:sz w:val="32"/>
          <w:szCs w:val="32"/>
          <w:highlight w:val="none"/>
          <w:lang w:val="en-US" w:eastAsia="zh-CN"/>
        </w:rPr>
      </w:pPr>
      <w:r>
        <w:rPr>
          <w:rFonts w:hint="eastAsia" w:ascii="Times New Roman" w:hAnsi="Times New Roman" w:eastAsia="黑体" w:cs="Times New Roman"/>
          <w:b/>
          <w:bCs/>
          <w:kern w:val="0"/>
          <w:sz w:val="32"/>
          <w:szCs w:val="32"/>
          <w:highlight w:val="none"/>
          <w:lang w:val="en-US" w:eastAsia="zh-CN"/>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本单位2024年没有政府性基金预算拨款、国有资本经营预算收入和纳入专户管理的非税收入拨款收入，也没有使用政府性基金预算拨款、国有资本经营预算收入和纳入专户管理的非税收入拨款安排的支出，所以部门预算公开表1</w:t>
      </w:r>
      <w:r>
        <w:rPr>
          <w:rFonts w:hint="eastAsia" w:ascii="仿宋_GB2312" w:hAnsi="仿宋_GB2312" w:eastAsia="仿宋_GB2312" w:cs="仿宋_GB2312"/>
          <w:color w:val="000000"/>
          <w:sz w:val="32"/>
          <w:szCs w:val="32"/>
          <w:shd w:val="clear" w:color="auto" w:fill="FFFFFF"/>
          <w:lang w:val="en-US" w:eastAsia="zh-CN"/>
        </w:rPr>
        <w:t>5、16、17、18、19表均为空。</w:t>
      </w:r>
    </w:p>
    <w:p>
      <w:pPr>
        <w:numPr>
          <w:ilvl w:val="0"/>
          <w:numId w:val="1"/>
        </w:num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收入预算：</w:t>
      </w:r>
      <w:r>
        <w:rPr>
          <w:rFonts w:hint="eastAsia" w:ascii="仿宋_GB2312" w:hAnsi="仿宋_GB2312" w:eastAsia="仿宋_GB2312" w:cs="仿宋_GB2312"/>
          <w:color w:val="000000"/>
          <w:sz w:val="32"/>
          <w:szCs w:val="32"/>
          <w:shd w:val="clear" w:color="auto" w:fill="FFFFFF"/>
          <w:lang w:val="en-US" w:eastAsia="zh-CN"/>
        </w:rPr>
        <w:t>包括一般公共预算、政府性基金、国有资本经营预算等财政拨款收入，以及经营收入、事业收入等单位资金。2024年本单位收入预算578.65万元，其中，一般公共预算拨款578.65万元，政府性基金预算资金0.00万元(所以</w:t>
      </w:r>
      <w:r>
        <w:rPr>
          <w:rFonts w:hint="eastAsia" w:ascii="仿宋_GB2312" w:hAnsi="仿宋_GB2312" w:eastAsia="仿宋_GB2312" w:cs="仿宋_GB2312"/>
          <w:color w:val="000000"/>
          <w:sz w:val="32"/>
          <w:szCs w:val="32"/>
          <w:highlight w:val="none"/>
          <w:shd w:val="clear" w:color="auto" w:fill="FFFFFF"/>
          <w:lang w:val="en-US" w:eastAsia="zh-CN"/>
        </w:rPr>
        <w:t>部门预算公开表15-17表为空)，国有资本经营预算资金0.00万元(所以部门预算公开表18表为空)，财政专户管理资金0.00万元(所以部门预算公开表19表为</w:t>
      </w:r>
      <w:r>
        <w:rPr>
          <w:rFonts w:hint="eastAsia" w:ascii="仿宋_GB2312" w:hAnsi="仿宋_GB2312" w:eastAsia="仿宋_GB2312" w:cs="仿宋_GB2312"/>
          <w:color w:val="000000"/>
          <w:sz w:val="32"/>
          <w:szCs w:val="32"/>
          <w:shd w:val="clear" w:color="auto" w:fill="FFFFFF"/>
          <w:lang w:val="en-US" w:eastAsia="zh-CN"/>
        </w:rPr>
        <w:t>空)，上级补助收入资金0.00万元，事业单位经营收入资金0.00万元，上年结转结余0.00万元。收入较上年减少11.14万元，下降1.89%。主要原因是2024年产前筛查和出生缺陷防治经费减少，从而导致项目预算收入减少。</w:t>
      </w:r>
    </w:p>
    <w:p>
      <w:pPr>
        <w:pStyle w:val="2"/>
        <w:numPr>
          <w:ilvl w:val="0"/>
          <w:numId w:val="0"/>
        </w:numPr>
        <w:rPr>
          <w:rFonts w:hint="eastAsia"/>
          <w:lang w:val="en-US" w:eastAsia="zh-CN"/>
        </w:rPr>
      </w:pPr>
      <w:r>
        <w:drawing>
          <wp:inline distT="0" distB="0" distL="114300" distR="114300">
            <wp:extent cx="4886325" cy="2667000"/>
            <wp:effectExtent l="6350" t="6350" r="2222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numPr>
          <w:ilvl w:val="0"/>
          <w:numId w:val="0"/>
        </w:numPr>
        <w:rPr>
          <w:rFonts w:hint="eastAsia"/>
          <w:lang w:val="en-US" w:eastAsia="zh-CN"/>
        </w:rPr>
      </w:pPr>
    </w:p>
    <w:p>
      <w:pPr>
        <w:numPr>
          <w:ilvl w:val="0"/>
          <w:numId w:val="1"/>
        </w:numPr>
        <w:spacing w:line="570" w:lineRule="atLeast"/>
        <w:ind w:left="0" w:leftChars="0"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支出预算：</w:t>
      </w:r>
      <w:r>
        <w:rPr>
          <w:rFonts w:hint="eastAsia" w:ascii="仿宋_GB2312" w:hAnsi="仿宋_GB2312" w:eastAsia="仿宋_GB2312" w:cs="仿宋_GB2312"/>
          <w:color w:val="000000"/>
          <w:sz w:val="32"/>
          <w:szCs w:val="32"/>
          <w:shd w:val="clear" w:color="auto" w:fill="FFFFFF"/>
          <w:lang w:val="en-US" w:eastAsia="zh-CN"/>
        </w:rPr>
        <w:t>2024年本单位支出预算578.65万元，其中：社会保障和就业支出64.77万元，卫生健康支出482.04万元，住房保障支出31.84万元。支出较上年减少11.14万元，下降1.89%。主要原因是2024年产前筛查和出生缺陷防治经费支出减少，从而导致项目预算支出减少。</w:t>
      </w:r>
    </w:p>
    <w:p>
      <w:pPr>
        <w:pStyle w:val="2"/>
        <w:numPr>
          <w:ilvl w:val="0"/>
          <w:numId w:val="0"/>
        </w:numPr>
        <w:rPr>
          <w:rFonts w:hint="eastAsia"/>
          <w:lang w:val="en-US" w:eastAsia="zh-CN"/>
        </w:rPr>
      </w:pPr>
      <w:r>
        <w:drawing>
          <wp:inline distT="0" distB="0" distL="114300" distR="114300">
            <wp:extent cx="4962525" cy="3219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643" w:firstLineChars="200"/>
        <w:rPr>
          <w:rFonts w:hint="eastAsia" w:ascii="Times New Roman" w:hAnsi="Times New Roman" w:eastAsia="黑体" w:cs="Times New Roman"/>
          <w:b/>
          <w:bCs/>
          <w:kern w:val="0"/>
          <w:sz w:val="32"/>
          <w:szCs w:val="32"/>
          <w:lang w:val="en-US" w:eastAsia="zh-CN"/>
        </w:rPr>
      </w:pPr>
      <w:r>
        <w:rPr>
          <w:rFonts w:hint="eastAsia" w:ascii="Times New Roman" w:hAnsi="Times New Roman" w:eastAsia="黑体" w:cs="Times New Roman"/>
          <w:b/>
          <w:bCs/>
          <w:kern w:val="0"/>
          <w:sz w:val="32"/>
          <w:szCs w:val="32"/>
          <w:lang w:val="en-US" w:eastAsia="zh-CN"/>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2024年本单位一般公共预算拨款支出578.65万元，其中：社会保障和就业支出64.77万元，占11.19%；卫生健康支出482.04万元，占83.3%；住房保障支出31.84万元，占5.51%。具体安排情况如下：</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（一）基本支出：</w:t>
      </w:r>
      <w:r>
        <w:rPr>
          <w:rFonts w:hint="eastAsia" w:ascii="仿宋_GB2312" w:hAnsi="仿宋_GB2312" w:eastAsia="仿宋_GB2312" w:cs="仿宋_GB2312"/>
          <w:color w:val="000000"/>
          <w:sz w:val="32"/>
          <w:szCs w:val="32"/>
          <w:shd w:val="clear" w:color="auto" w:fill="FFFFFF"/>
          <w:lang w:val="en-US" w:eastAsia="zh-CN"/>
        </w:rPr>
        <w:t>2024年本单位基本支出预算数415.38万元，主要是为保障单位正常运转、完成日常工作任务而发生的各项支出，包括用于基本工资、津贴补贴等人员经费以及办公费、印刷费、水电费、办公设备购置等公用经费。</w:t>
      </w:r>
    </w:p>
    <w:p>
      <w:pPr>
        <w:spacing w:line="570" w:lineRule="atLeas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（二）项目支出：</w:t>
      </w:r>
      <w:r>
        <w:rPr>
          <w:rFonts w:hint="eastAsia" w:ascii="仿宋_GB2312" w:hAnsi="仿宋_GB2312" w:eastAsia="仿宋_GB2312" w:cs="仿宋_GB2312"/>
          <w:color w:val="000000"/>
          <w:sz w:val="32"/>
          <w:szCs w:val="32"/>
          <w:shd w:val="clear" w:color="auto" w:fill="FFFFFF"/>
          <w:lang w:val="en-US" w:eastAsia="zh-CN"/>
        </w:rPr>
        <w:t>2024年本单位项目支出预算163.27万元，主要是本单位为完成特定工作任务或事业发展目标而发生的支出，包括有关事业发展专项、专项业务费、基本建设支出等，其中：卫生健康支出163.27万元，主要用于妇幼保健机构项目支出。</w:t>
      </w:r>
    </w:p>
    <w:p>
      <w:pPr>
        <w:ind w:firstLine="643" w:firstLineChars="200"/>
        <w:rPr>
          <w:rFonts w:hint="eastAsia" w:asciiTheme="minorEastAsia" w:hAnsiTheme="minorEastAsia" w:eastAsiaTheme="minorEastAsia" w:cstheme="minorEastAsia"/>
          <w:b/>
          <w:bCs/>
          <w:sz w:val="28"/>
          <w:szCs w:val="28"/>
        </w:rPr>
      </w:pPr>
      <w:r>
        <w:rPr>
          <w:rFonts w:hint="eastAsia" w:ascii="Times New Roman" w:hAnsi="Times New Roman" w:eastAsia="黑体" w:cs="Times New Roman"/>
          <w:b/>
          <w:bCs/>
          <w:kern w:val="0"/>
          <w:sz w:val="32"/>
          <w:szCs w:val="32"/>
          <w:lang w:val="en-US" w:eastAsia="zh-CN"/>
        </w:rPr>
        <w:t>五、政府性基金预算支出</w:t>
      </w:r>
    </w:p>
    <w:p>
      <w:pPr>
        <w:ind w:firstLine="640" w:firstLineChars="200"/>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仿宋_GB2312" w:hAnsi="仿宋_GB2312" w:eastAsia="仿宋_GB2312" w:cs="仿宋_GB2312"/>
          <w:color w:val="000000"/>
          <w:sz w:val="32"/>
          <w:szCs w:val="32"/>
          <w:shd w:val="clear" w:color="auto" w:fill="FFFFFF"/>
          <w:lang w:val="en-US" w:eastAsia="zh-CN"/>
        </w:rPr>
        <w:t>2024年度本单位无政府性基金安排的支出，所以公开的附件15-17（政府性基金预算）为空。</w:t>
      </w:r>
    </w:p>
    <w:p>
      <w:pPr>
        <w:ind w:firstLine="643" w:firstLineChars="200"/>
        <w:rPr>
          <w:rFonts w:hint="eastAsia" w:asciiTheme="minorEastAsia" w:hAnsiTheme="minorEastAsia" w:eastAsiaTheme="minorEastAsia" w:cstheme="minorEastAsia"/>
          <w:b/>
          <w:bCs/>
          <w:sz w:val="28"/>
          <w:szCs w:val="28"/>
        </w:rPr>
      </w:pPr>
      <w:r>
        <w:rPr>
          <w:rFonts w:hint="eastAsia" w:ascii="Times New Roman" w:hAnsi="Times New Roman" w:eastAsia="黑体" w:cs="Times New Roman"/>
          <w:b/>
          <w:bCs/>
          <w:kern w:val="0"/>
          <w:sz w:val="32"/>
          <w:szCs w:val="32"/>
          <w:lang w:val="en-US" w:eastAsia="zh-CN"/>
        </w:rPr>
        <w:t>六、其他重要事项的情况说明</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（一）机关运行经费：</w:t>
      </w:r>
      <w:r>
        <w:rPr>
          <w:rFonts w:hint="eastAsia" w:ascii="仿宋_GB2312" w:hAnsi="仿宋_GB2312" w:eastAsia="仿宋_GB2312" w:cs="仿宋_GB2312"/>
          <w:color w:val="000000"/>
          <w:sz w:val="32"/>
          <w:szCs w:val="32"/>
          <w:shd w:val="clear" w:color="auto" w:fill="FFFFFF"/>
          <w:lang w:val="en-US" w:eastAsia="zh-CN"/>
        </w:rPr>
        <w:t>2024年岳阳市君山区妇幼保健院机关运行经费33.6万元，比上年预算下降19.04%。主要原因厉行节约，导致机关运行经费较上年减少。</w:t>
      </w:r>
    </w:p>
    <w:p>
      <w:pPr>
        <w:ind w:firstLine="643" w:firstLineChars="200"/>
        <w:rPr>
          <w:rFonts w:hint="eastAsia" w:ascii="仿宋_GB2312" w:hAnsi="仿宋_GB2312" w:eastAsia="仿宋_GB2312" w:cs="仿宋_GB2312"/>
          <w:strike w:val="0"/>
          <w:dstrike w:val="0"/>
          <w:color w:val="000000"/>
          <w:sz w:val="32"/>
          <w:szCs w:val="32"/>
          <w:u w:val="none"/>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（二）“三公”经费预算：</w:t>
      </w:r>
      <w:r>
        <w:rPr>
          <w:rFonts w:hint="eastAsia" w:ascii="仿宋_GB2312" w:hAnsi="仿宋_GB2312" w:eastAsia="仿宋_GB2312" w:cs="仿宋_GB2312"/>
          <w:color w:val="000000"/>
          <w:sz w:val="32"/>
          <w:szCs w:val="32"/>
          <w:shd w:val="clear" w:color="auto" w:fill="FFFFFF"/>
          <w:lang w:val="en-US" w:eastAsia="zh-CN"/>
        </w:rPr>
        <w:t>2024年本单位“三公”经费预算数为3.5万元，其中，公务接待费1万元，公务用车购置及运行费2.5万元（其中，公务用车购置费0万元，公务用车运行费2.5万元），因公出国（境）费0万元。2024年“三公”经费预算较2023年增加2.5万元，主要原因是2023年我单位救护车为业务用车，</w:t>
      </w:r>
      <w:r>
        <w:rPr>
          <w:rFonts w:hint="eastAsia" w:ascii="仿宋_GB2312" w:hAnsi="仿宋_GB2312" w:eastAsia="仿宋_GB2312" w:cs="仿宋_GB2312"/>
          <w:strike w:val="0"/>
          <w:dstrike w:val="0"/>
          <w:color w:val="000000"/>
          <w:sz w:val="32"/>
          <w:szCs w:val="32"/>
          <w:u w:val="none"/>
          <w:shd w:val="clear" w:color="auto" w:fill="FFFFFF"/>
          <w:lang w:val="en-US" w:eastAsia="zh-CN"/>
        </w:rPr>
        <w:t>未作为公务用车进行预算，2024年更改为公务用车计入公务用车运行费支出。</w:t>
      </w:r>
      <w:bookmarkStart w:id="1" w:name="END_IS_ZERO_06_2"/>
      <w:bookmarkEnd w:id="1"/>
      <w:bookmarkStart w:id="2" w:name="DIS_MARK_IS_ZERO_06_2"/>
      <w:bookmarkEnd w:id="2"/>
      <w:bookmarkStart w:id="3" w:name="END_IS_ZERO_06_1"/>
      <w:bookmarkEnd w:id="3"/>
      <w:bookmarkStart w:id="4" w:name="START_IS_ZERO_06_2"/>
      <w:bookmarkEnd w:id="4"/>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（三）一般性支出情况：</w:t>
      </w:r>
      <w:r>
        <w:rPr>
          <w:rFonts w:hint="eastAsia" w:ascii="仿宋_GB2312" w:hAnsi="仿宋_GB2312" w:eastAsia="仿宋_GB2312" w:cs="仿宋_GB2312"/>
          <w:color w:val="000000"/>
          <w:sz w:val="32"/>
          <w:szCs w:val="32"/>
          <w:shd w:val="clear" w:color="auto" w:fill="FFFFFF"/>
          <w:lang w:val="en-US" w:eastAsia="zh-CN"/>
        </w:rPr>
        <w:t>2024年本单位会议费预算1万元，拟召开</w:t>
      </w:r>
      <w:r>
        <w:rPr>
          <w:rFonts w:hint="eastAsia" w:eastAsia="仿宋_GB2312"/>
          <w:kern w:val="0"/>
          <w:sz w:val="32"/>
          <w:szCs w:val="32"/>
          <w:u w:val="none"/>
          <w:lang w:eastAsia="zh-CN"/>
        </w:rPr>
        <w:t>全区妇幼健康工作例会、党员大会、医疗质量与安全管理、职工大会</w:t>
      </w:r>
      <w:r>
        <w:rPr>
          <w:rFonts w:hint="eastAsia" w:ascii="仿宋_GB2312" w:hAnsi="仿宋_GB2312" w:eastAsia="仿宋_GB2312" w:cs="仿宋_GB2312"/>
          <w:color w:val="000000"/>
          <w:sz w:val="32"/>
          <w:szCs w:val="32"/>
          <w:shd w:val="clear" w:color="auto" w:fill="FFFFFF"/>
          <w:lang w:val="en-US" w:eastAsia="zh-CN"/>
        </w:rPr>
        <w:t>等10次会议，人数251人，内容为会场租赁、会议资料和其他杂费等；培训费预算1万元，拟开展医疗业务培训、省市通知的培训等5次培训，人数87人，内容为授课费、场地租赁费、培训餐费等；</w:t>
      </w:r>
      <w:r>
        <w:rPr>
          <w:rFonts w:hint="eastAsia" w:ascii="仿宋_GB2312" w:hAnsi="仿宋_GB2312" w:eastAsia="仿宋_GB2312" w:cs="仿宋_GB2312"/>
          <w:color w:val="000000"/>
          <w:kern w:val="2"/>
          <w:sz w:val="32"/>
          <w:szCs w:val="32"/>
          <w:shd w:val="clear" w:color="auto" w:fill="FFFFFF"/>
          <w:lang w:val="en-US" w:eastAsia="zh-CN" w:bidi="ar-SA"/>
        </w:rPr>
        <w:t>2024年度本</w:t>
      </w:r>
      <w:r>
        <w:rPr>
          <w:rFonts w:hint="eastAsia" w:ascii="仿宋_GB2312" w:hAnsi="仿宋_GB2312" w:eastAsia="仿宋_GB2312" w:cs="仿宋_GB2312"/>
          <w:color w:val="000000"/>
          <w:kern w:val="2"/>
          <w:sz w:val="36"/>
          <w:szCs w:val="36"/>
          <w:shd w:val="clear" w:color="auto" w:fill="FFFFFF"/>
          <w:lang w:val="en-US" w:eastAsia="zh-CN" w:bidi="ar-SA"/>
        </w:rPr>
        <w:t>部门</w:t>
      </w:r>
      <w:r>
        <w:rPr>
          <w:rFonts w:hint="eastAsia" w:ascii="仿宋_GB2312" w:hAnsi="仿宋_GB2312" w:eastAsia="仿宋_GB2312" w:cs="仿宋_GB2312"/>
          <w:color w:val="000000"/>
          <w:kern w:val="2"/>
          <w:sz w:val="32"/>
          <w:szCs w:val="32"/>
          <w:shd w:val="clear" w:color="auto" w:fill="FFFFFF"/>
          <w:lang w:val="en-US" w:eastAsia="zh-CN" w:bidi="ar-SA"/>
        </w:rPr>
        <w:t>未计划举办节庆、晚会、论坛、赛事活动，经费预算0万元。</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（四）政府采购情况：</w:t>
      </w:r>
      <w:r>
        <w:rPr>
          <w:rFonts w:hint="eastAsia" w:ascii="仿宋_GB2312" w:hAnsi="仿宋_GB2312" w:eastAsia="仿宋_GB2312" w:cs="仿宋_GB2312"/>
          <w:color w:val="000000"/>
          <w:sz w:val="32"/>
          <w:szCs w:val="32"/>
          <w:shd w:val="clear" w:color="auto" w:fill="FFFFFF"/>
          <w:lang w:val="en-US" w:eastAsia="zh-CN"/>
        </w:rPr>
        <w:t>2024年本单位政府采购预算总额0万元，其中，货物类采购预算0万元；工程类采购预算0万元；服务类采购预算0万元。</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（五）国有资产占用使用及新增资产配置情况：</w:t>
      </w:r>
      <w:r>
        <w:rPr>
          <w:rFonts w:hint="eastAsia" w:ascii="仿宋_GB2312" w:hAnsi="仿宋_GB2312" w:eastAsia="仿宋_GB2312" w:cs="仿宋_GB2312"/>
          <w:color w:val="000000"/>
          <w:sz w:val="32"/>
          <w:szCs w:val="32"/>
          <w:shd w:val="clear" w:color="auto" w:fill="FFFFFF"/>
          <w:lang w:val="en-US" w:eastAsia="zh-CN"/>
        </w:rPr>
        <w:t>截至2023年12月底，本单位共有公务用车2辆，其中，机要通信用车0辆，应急保障用车2辆，执法执勤用车0辆，特种专业技术用车0辆，其他按照规定配备的公务用车0辆；单位价值50万元以上设备3台，其中，单位价值100万元以上设备2台。</w:t>
      </w:r>
    </w:p>
    <w:p>
      <w:pPr>
        <w:ind w:firstLine="640"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2024年拟新增配置公务用车0辆，其中，机要通信用车0辆，应急保障用车0辆，执法执勤</w:t>
      </w:r>
      <w:r>
        <w:rPr>
          <w:rFonts w:hint="eastAsia" w:ascii="仿宋_GB2312" w:hAnsi="仿宋_GB2312" w:eastAsia="仿宋_GB2312" w:cs="仿宋_GB2312"/>
          <w:color w:val="000000"/>
          <w:sz w:val="32"/>
          <w:szCs w:val="32"/>
          <w:highlight w:val="none"/>
          <w:shd w:val="clear" w:color="auto" w:fill="FFFFFF"/>
          <w:lang w:val="en-US" w:eastAsia="zh-CN"/>
        </w:rPr>
        <w:t>用车0辆，特种专业技术用车0辆，其他按照规定配备的公务用车0辆；新增配备单位价值50万元以上设备3台，其中，单位价值100万元以上设备2台。</w:t>
      </w:r>
    </w:p>
    <w:p>
      <w:pPr>
        <w:ind w:firstLine="643"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（六）预算绩效目标说明：</w:t>
      </w:r>
      <w:r>
        <w:rPr>
          <w:rFonts w:hint="eastAsia" w:ascii="仿宋_GB2312" w:hAnsi="仿宋_GB2312" w:eastAsia="仿宋_GB2312" w:cs="仿宋_GB2312"/>
          <w:color w:val="000000"/>
          <w:sz w:val="32"/>
          <w:szCs w:val="32"/>
          <w:highlight w:val="none"/>
          <w:shd w:val="clear" w:color="auto" w:fill="FFFFFF"/>
          <w:lang w:val="en-US" w:eastAsia="zh-CN"/>
        </w:rPr>
        <w:t>本单位所有支出实行绩效目标管理。纳入2024年单位整体支出绩效目标的金额为578.65万元，其中，基本支出415.38万元，项目支出163.27万元，具体绩效目标详见文尾附表中部门预算公开表21-22表。</w:t>
      </w:r>
    </w:p>
    <w:p>
      <w:pPr>
        <w:ind w:firstLine="643" w:firstLineChars="200"/>
        <w:rPr>
          <w:rFonts w:hint="eastAsia" w:ascii="Times New Roman" w:hAnsi="Times New Roman" w:eastAsia="黑体" w:cs="Times New Roman"/>
          <w:b/>
          <w:bCs/>
          <w:kern w:val="0"/>
          <w:sz w:val="32"/>
          <w:szCs w:val="32"/>
          <w:lang w:val="en-US" w:eastAsia="zh-CN"/>
        </w:rPr>
      </w:pPr>
      <w:r>
        <w:rPr>
          <w:rFonts w:hint="eastAsia" w:ascii="Times New Roman" w:hAnsi="Times New Roman" w:eastAsia="黑体" w:cs="Times New Roman"/>
          <w:b/>
          <w:bCs/>
          <w:kern w:val="0"/>
          <w:sz w:val="32"/>
          <w:szCs w:val="32"/>
          <w:lang w:val="en-US" w:eastAsia="zh-CN"/>
        </w:rPr>
        <w:t>七、名词解释</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1．机关运行经费：</w:t>
      </w:r>
      <w:r>
        <w:rPr>
          <w:rFonts w:hint="eastAsia" w:ascii="仿宋_GB2312" w:hAnsi="仿宋_GB2312" w:eastAsia="仿宋_GB2312" w:cs="仿宋_GB2312"/>
          <w:color w:val="000000"/>
          <w:sz w:val="32"/>
          <w:szCs w:val="32"/>
          <w:shd w:val="clear" w:color="auto" w:fill="FFFFFF"/>
          <w:lang w:val="en-US" w:eastAsia="zh-CN"/>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ind w:firstLine="643" w:firstLineChars="200"/>
        <w:rPr>
          <w:rFonts w:hint="eastAsia" w:ascii="方正小标宋简体" w:hAnsi="Times New Roman" w:eastAsia="方正小标宋简体" w:cs="Times New Roman"/>
          <w:b/>
          <w:bCs/>
          <w:kern w:val="0"/>
          <w:sz w:val="36"/>
          <w:szCs w:val="36"/>
          <w:lang w:val="en-US" w:eastAsia="zh-CN" w:bidi="ar-SA"/>
        </w:rPr>
      </w:pPr>
      <w:r>
        <w:rPr>
          <w:rFonts w:hint="eastAsia" w:ascii="仿宋_GB2312" w:hAnsi="仿宋_GB2312" w:eastAsia="仿宋_GB2312" w:cs="仿宋_GB2312"/>
          <w:b/>
          <w:bCs/>
          <w:color w:val="000000"/>
          <w:sz w:val="32"/>
          <w:szCs w:val="32"/>
          <w:shd w:val="clear" w:color="auto" w:fill="FFFFFF"/>
          <w:lang w:val="en-US" w:eastAsia="zh-CN"/>
        </w:rPr>
        <w:t>2．“三公”经费：</w:t>
      </w:r>
      <w:r>
        <w:rPr>
          <w:rFonts w:hint="eastAsia" w:ascii="仿宋_GB2312" w:hAnsi="仿宋_GB2312" w:eastAsia="仿宋_GB2312" w:cs="仿宋_GB2312"/>
          <w:color w:val="000000"/>
          <w:sz w:val="32"/>
          <w:szCs w:val="32"/>
          <w:shd w:val="clear" w:color="auto" w:fill="FFFFFF"/>
          <w:lang w:val="en-US" w:eastAsia="zh-CN"/>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bookmarkStart w:id="5" w:name="_GoBack"/>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textAlignment w:val="center"/>
        <w:rPr>
          <w:rFonts w:hint="eastAsia" w:ascii="方正小标宋简体" w:hAnsi="Times New Roman" w:eastAsia="方正小标宋简体" w:cs="Times New Roman"/>
          <w:b/>
          <w:bCs/>
          <w:kern w:val="0"/>
          <w:sz w:val="36"/>
          <w:szCs w:val="36"/>
          <w:lang w:val="en-US" w:eastAsia="zh-CN" w:bidi="ar-SA"/>
        </w:rPr>
      </w:pPr>
      <w:r>
        <w:rPr>
          <w:rFonts w:hint="eastAsia" w:ascii="方正小标宋简体" w:hAnsi="Times New Roman" w:eastAsia="方正小标宋简体" w:cs="Times New Roman"/>
          <w:b/>
          <w:bCs/>
          <w:kern w:val="0"/>
          <w:sz w:val="36"/>
          <w:szCs w:val="36"/>
          <w:lang w:val="en-US" w:eastAsia="zh-CN" w:bidi="ar-SA"/>
        </w:rPr>
        <w:t>第二部分  2024年部门预算公开表格</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1、收支总表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2、收入总表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3、支出总表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4、支出预算分类汇总表（按政府预算经济分类）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5、支出预算分类汇总表（按部门预算经济分类）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6、财政拨款收支总表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7、一般公共预算支出表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8、一般公共预算基本支出表-人员经费（工资福利支出）（按政府预算经济分类）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9、一般公共预算基本支出表-人员经费（工资福利支出）（按部门预算经济分类）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10、一般公共预算基本支出表-人员经费（对个人和家庭的补助）（按政府预算经济分类）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11、一般公共预算基本支出表-人员经费（对个人和家庭的补助）（按部门预算经济分类）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12、一般公共预算基本支出表-公用经费（商品和服务支出）（按政府预算经济分类）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13、一般公共预算基本支出表-公用经费（商品和服务支出）（按部门预算经济分类）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14、一般公共预算“三公”经费支出表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15、政府性基金预算支出表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16、政府性基金预算支出分类汇总表（按政府预算经济分类）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17、政府性基金预算支出分类汇总表（按部门预算经济分类）</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18、国有资本经营预算支出表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19、财政专户管理资金预算支出表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20、专项资金预算汇总表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21、项目支出绩效目标表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22、部门整体支出绩效目标表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23、一般公共预算基本支出表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注：以上部门预算公开报表中，空表表示本单位无相关收支情况。</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附件：岳阳市君山区妇幼保健院2024年部门预算公开表</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C3CBB"/>
    <w:multiLevelType w:val="singleLevel"/>
    <w:tmpl w:val="57CC3C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kxYTllNGUzYWMwZmMyNjFiNTViYzNiYzdlYTAifQ=="/>
    <w:docVar w:name="KSO_WPS_MARK_KEY" w:val="592f90ee-9904-4749-9c33-12393337f8d9"/>
  </w:docVars>
  <w:rsids>
    <w:rsidRoot w:val="637274E6"/>
    <w:rsid w:val="013F696E"/>
    <w:rsid w:val="017103CA"/>
    <w:rsid w:val="01C832C9"/>
    <w:rsid w:val="01EC3E90"/>
    <w:rsid w:val="020A5418"/>
    <w:rsid w:val="02140C7A"/>
    <w:rsid w:val="021B17AE"/>
    <w:rsid w:val="046523F8"/>
    <w:rsid w:val="071719AF"/>
    <w:rsid w:val="074B2D67"/>
    <w:rsid w:val="088363E7"/>
    <w:rsid w:val="09A63A78"/>
    <w:rsid w:val="0AD8381E"/>
    <w:rsid w:val="0B172D74"/>
    <w:rsid w:val="0B285199"/>
    <w:rsid w:val="0B5218A1"/>
    <w:rsid w:val="0B653E82"/>
    <w:rsid w:val="0B767E87"/>
    <w:rsid w:val="0D7003AD"/>
    <w:rsid w:val="0E042561"/>
    <w:rsid w:val="0F2A3A2C"/>
    <w:rsid w:val="10797237"/>
    <w:rsid w:val="12311C0F"/>
    <w:rsid w:val="12AD766B"/>
    <w:rsid w:val="12CE33E2"/>
    <w:rsid w:val="16042156"/>
    <w:rsid w:val="16247C45"/>
    <w:rsid w:val="167C1082"/>
    <w:rsid w:val="192632E6"/>
    <w:rsid w:val="1B6F1962"/>
    <w:rsid w:val="1BB947A5"/>
    <w:rsid w:val="1C744CBF"/>
    <w:rsid w:val="1C914169"/>
    <w:rsid w:val="1F0C52E3"/>
    <w:rsid w:val="1F572E39"/>
    <w:rsid w:val="1F8154A2"/>
    <w:rsid w:val="20034AD4"/>
    <w:rsid w:val="22767EB0"/>
    <w:rsid w:val="22861ED8"/>
    <w:rsid w:val="27562CA6"/>
    <w:rsid w:val="286F1B1C"/>
    <w:rsid w:val="28D728F5"/>
    <w:rsid w:val="2A5727A7"/>
    <w:rsid w:val="2B3247EE"/>
    <w:rsid w:val="2D3A16A4"/>
    <w:rsid w:val="2DC518B5"/>
    <w:rsid w:val="2E9372BE"/>
    <w:rsid w:val="30F54535"/>
    <w:rsid w:val="328F1D91"/>
    <w:rsid w:val="35F605DC"/>
    <w:rsid w:val="36214EDF"/>
    <w:rsid w:val="37E85139"/>
    <w:rsid w:val="395E7E49"/>
    <w:rsid w:val="398C704B"/>
    <w:rsid w:val="3A486D41"/>
    <w:rsid w:val="3BD274B0"/>
    <w:rsid w:val="3CB10683"/>
    <w:rsid w:val="3E4B1963"/>
    <w:rsid w:val="3FA723FA"/>
    <w:rsid w:val="40731651"/>
    <w:rsid w:val="40BA4B7E"/>
    <w:rsid w:val="41D34149"/>
    <w:rsid w:val="4283657D"/>
    <w:rsid w:val="42E3660E"/>
    <w:rsid w:val="454F1D39"/>
    <w:rsid w:val="4601059C"/>
    <w:rsid w:val="4602087F"/>
    <w:rsid w:val="46BA7686"/>
    <w:rsid w:val="4748485A"/>
    <w:rsid w:val="4AF04C06"/>
    <w:rsid w:val="4AFC64BF"/>
    <w:rsid w:val="4BBE358A"/>
    <w:rsid w:val="4DC14E19"/>
    <w:rsid w:val="4E514D65"/>
    <w:rsid w:val="4EE728E7"/>
    <w:rsid w:val="4F0307B2"/>
    <w:rsid w:val="4F295AEE"/>
    <w:rsid w:val="4F302902"/>
    <w:rsid w:val="52077AEA"/>
    <w:rsid w:val="54650BF4"/>
    <w:rsid w:val="55E76771"/>
    <w:rsid w:val="55F933A8"/>
    <w:rsid w:val="58AA6296"/>
    <w:rsid w:val="58AF2EC0"/>
    <w:rsid w:val="5A13112F"/>
    <w:rsid w:val="5BC30933"/>
    <w:rsid w:val="5C702869"/>
    <w:rsid w:val="5C9D16DC"/>
    <w:rsid w:val="5DC12353"/>
    <w:rsid w:val="600F1ACB"/>
    <w:rsid w:val="60B42209"/>
    <w:rsid w:val="60F40E3A"/>
    <w:rsid w:val="637274E6"/>
    <w:rsid w:val="63E65795"/>
    <w:rsid w:val="65B57FA7"/>
    <w:rsid w:val="675A13CF"/>
    <w:rsid w:val="67CB129B"/>
    <w:rsid w:val="682C3048"/>
    <w:rsid w:val="6B1B73BC"/>
    <w:rsid w:val="6D6D6178"/>
    <w:rsid w:val="6F4B168B"/>
    <w:rsid w:val="70F118E0"/>
    <w:rsid w:val="71704C61"/>
    <w:rsid w:val="719F6C19"/>
    <w:rsid w:val="73B454E2"/>
    <w:rsid w:val="77F21009"/>
    <w:rsid w:val="78CC0C1A"/>
    <w:rsid w:val="7AE949AB"/>
    <w:rsid w:val="7B4C171D"/>
    <w:rsid w:val="7D266D66"/>
    <w:rsid w:val="7E7E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收入预算图</a:t>
            </a:r>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solidFill>
                  <a:schemeClr val="tx1"/>
                </a:solidFill>
              </a:rPr>
              <a:t>支出预算图</a:t>
            </a:r>
            <a:endParaRPr sz="1800">
              <a:solidFill>
                <a:schemeClr val="tx1"/>
              </a:solidFill>
            </a:endParaRPr>
          </a:p>
        </c:rich>
      </c:tx>
      <c:layout>
        <c:manualLayout>
          <c:xMode val="edge"/>
          <c:yMode val="edge"/>
          <c:x val="0.364444444444444"/>
          <c:y val="0.032366339007432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工作表.xls]Sheet1'!$A$2:$A$4</c:f>
              <c:strCache>
                <c:ptCount val="3"/>
                <c:pt idx="0">
                  <c:v>社会保障和就业支出</c:v>
                </c:pt>
                <c:pt idx="1">
                  <c:v>卫生健康支出</c:v>
                </c:pt>
                <c:pt idx="2">
                  <c:v>住房保障支出</c:v>
                </c:pt>
              </c:strCache>
            </c:strRef>
          </c:cat>
          <c:val>
            <c:numRef>
              <c:f>'[新建 XLS 工作表.xls]Sheet1'!$B$2:$B$4</c:f>
              <c:numCache>
                <c:formatCode>0.00%</c:formatCode>
                <c:ptCount val="3"/>
                <c:pt idx="0">
                  <c:v>0.1119</c:v>
                </c:pt>
                <c:pt idx="1">
                  <c:v>0.833</c:v>
                </c:pt>
                <c:pt idx="2">
                  <c:v>0.0551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3744</Words>
  <Characters>4031</Characters>
  <Lines>0</Lines>
  <Paragraphs>0</Paragraphs>
  <TotalTime>8</TotalTime>
  <ScaleCrop>false</ScaleCrop>
  <LinksUpToDate>false</LinksUpToDate>
  <CharactersWithSpaces>4038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2024-06-22T15:34:05Z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4B589B6B695C4DC7952F61D9C4C27BB6_13</vt:lpwstr>
  </property>
</Properties>
</file>