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olors1.xml" ContentType="application/vnd.ms-office.chartcolorstyle+xml"/>
  <Override PartName="/word/charts/style1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theme/themeOverride1.xml" ContentType="application/vnd.openxmlformats-officedocument.themeOverrid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黑体" w:hAnsi="黑体" w:eastAsia="黑体" w:cs="黑体"/>
          <w:b/>
          <w:bCs/>
          <w:sz w:val="48"/>
          <w:szCs w:val="48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岳阳市君山区文化市场综合行政执法大队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2024年部门预算公开</w:t>
      </w:r>
    </w:p>
    <w:p>
      <w:pPr>
        <w:rPr>
          <w:rFonts w:hint="eastAsia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  <w:r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  <w:t>目 录</w:t>
      </w:r>
    </w:p>
    <w:p>
      <w:pPr>
        <w:widowControl/>
        <w:spacing w:line="570" w:lineRule="atLeast"/>
        <w:ind w:firstLine="630" w:firstLineChars="196"/>
        <w:rPr>
          <w:rFonts w:hint="eastAsia" w:ascii="黑体" w:hAnsi="黑体" w:eastAsia="黑体" w:cs="黑体"/>
          <w:b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第一部分 2024年部门预算说明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一、部门基本概况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五、政府性基金预算支出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六、其他重要事项的情况说明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七、名词解释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第二部分 2024年部门预算表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eastAsia="zh-CN"/>
        </w:rPr>
        <w:t>本单位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无相关收支情况。</w:t>
      </w:r>
    </w:p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</w:p>
    <w:p>
      <w:pPr>
        <w:jc w:val="center"/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</w:pPr>
      <w:r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  <w:t>第一部分 部门预算公开说明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一、部门基本概况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（一）职能职责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 xml:space="preserve"> 1.宣传贯彻执行党和国家有关文化市场行政执法方面的法律、法规、规章和政策规定；参与拟订全区文化市场综合行政执法相关规章和规范性文件，参与编制全区文化市场综合行政执法规划；拟订全区文化市场综合行政执法工作计划，并组织实施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2.统一承担本区内的文化、文物、体育、旅游、新闻出版（版权）、广电市场领域的行政处罚权及行政处罚相关的行政检查、行政强制等行政执法职能。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3.指导全区文化市场综合执法工作，依法查处娱乐场所、互联网上网服务营业场所的违法行为。依法查处演出、艺术品经营及进出口、文化经营等活动中的违法行为；依法查处文化艺术经营、展览展播活动中的违法行为；依法查处社会艺术水平考级的违法行为；依法查处网络文化、网络视听等方面的违法经营活动；依法查处安装和设置卫星电视广播地面接收设施、传送境外卫星电视节目中的违法行为；依法查处除制作、播出、传输等机构外的企业、个人和社会组织从事广播、电影、电视活动中的违法行为；依法查处电影摄制、进口、出口、发行、放映、电影片公映等活动的违法行为；依法查处电影放映单位的违法行为；配合查处生产、销售、使用“伪基站”设备的违法行为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4.依法查处图书、音像制品、电子出版物等方面的违法活动和印刷、复制出版物发行中的违法经营活动；依法查处非出版单位和个人的违法活动；依法查处著作权侵权行为。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5.负责依法查处旅游行业违法行为。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6.负责依法查处违反文物保护、非物质文化遗产保护、公共文化服务保障法律法规规章制定的违法行为。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7.负责依法查处体育行业违法行为。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8.承担“扫黄打非”有关工作任务。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9.配合做好跨行业、跨地区联合执法行动。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10.负责对各镇（街道）文化市场行政执法工作进行指导、协调和监督。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11.参与市监管行业诚信体系建设，协助做好文化市场行业质量信誉考核及“互联网+监管“事项动态信息的发布。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12.完成上级部门交办的其他任务。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（二）机构设置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33" w:lineRule="atLeast"/>
        <w:ind w:left="0" w:right="0" w:firstLine="420"/>
        <w:jc w:val="both"/>
        <w:rPr>
          <w:rFonts w:hint="eastAsia" w:eastAsia="仿宋_GB2312"/>
          <w:kern w:val="2"/>
          <w:sz w:val="32"/>
          <w:szCs w:val="32"/>
          <w:lang w:val="en-US" w:eastAsia="zh-CN" w:bidi="ar-SA"/>
        </w:rPr>
      </w:pPr>
      <w:r>
        <w:rPr>
          <w:rFonts w:hint="eastAsia" w:eastAsia="仿宋_GB2312"/>
          <w:kern w:val="2"/>
          <w:sz w:val="32"/>
          <w:szCs w:val="32"/>
          <w:lang w:val="en-US" w:eastAsia="zh-CN" w:bidi="ar-SA"/>
        </w:rPr>
        <w:t>君山区文化市场综合行政执法大队内设综合室1个，负责大队日常工作。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33" w:lineRule="atLeast"/>
        <w:ind w:left="0" w:right="0" w:firstLine="420"/>
        <w:jc w:val="both"/>
        <w:rPr>
          <w:rFonts w:hint="eastAsia" w:eastAsia="仿宋_GB2312"/>
          <w:kern w:val="2"/>
          <w:sz w:val="32"/>
          <w:szCs w:val="32"/>
          <w:lang w:val="en-US" w:eastAsia="zh-CN" w:bidi="ar-SA"/>
        </w:rPr>
      </w:pPr>
      <w:r>
        <w:rPr>
          <w:rFonts w:hint="eastAsia" w:eastAsia="仿宋_GB2312"/>
          <w:kern w:val="2"/>
          <w:sz w:val="32"/>
          <w:szCs w:val="32"/>
          <w:lang w:val="en-US" w:eastAsia="zh-CN" w:bidi="ar-SA"/>
        </w:rPr>
        <w:t>君山区文化市场综合行政执法大队属二级预算行政事业单位。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  <w:t>二、部门预算单位构成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val="en-US" w:eastAsia="zh-CN"/>
        </w:rPr>
      </w:pPr>
      <w:bookmarkStart w:id="0" w:name="DEPT_COMPOSE"/>
      <w:r>
        <w:rPr>
          <w:rFonts w:hint="eastAsia" w:eastAsia="仿宋_GB2312"/>
          <w:sz w:val="32"/>
          <w:szCs w:val="32"/>
          <w:lang w:eastAsia="zh-CN"/>
        </w:rPr>
        <w:t>本单位</w:t>
      </w:r>
      <w:r>
        <w:rPr>
          <w:rFonts w:hint="eastAsia" w:eastAsia="仿宋_GB2312"/>
          <w:sz w:val="32"/>
          <w:szCs w:val="32"/>
        </w:rPr>
        <w:t>只有本级，没有其他预算单位，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纳入2024年部门预算编制范围的只有</w:t>
      </w:r>
      <w:r>
        <w:rPr>
          <w:rFonts w:hint="eastAsia" w:eastAsia="仿宋_GB2312"/>
          <w:sz w:val="32"/>
          <w:szCs w:val="32"/>
          <w:lang w:eastAsia="zh-CN"/>
        </w:rPr>
        <w:t>岳阳市君山区文化市场综合行政执法大队</w:t>
      </w:r>
      <w:r>
        <w:rPr>
          <w:rFonts w:hint="eastAsia" w:eastAsia="仿宋_GB2312"/>
          <w:sz w:val="32"/>
          <w:szCs w:val="32"/>
          <w:lang w:val="en-US" w:eastAsia="zh-CN"/>
        </w:rPr>
        <w:t>本级。</w:t>
      </w:r>
    </w:p>
    <w:bookmarkEnd w:id="0"/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  <w:lang w:val="en-US" w:eastAsia="zh-CN"/>
        </w:rPr>
        <w:t>三、</w:t>
      </w: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  <w:t>部门收支总体情况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本单位2024年没有政府性基金预算拨款、国有资本经营预算收入和纳入专户管理的非税收入拨款收入，也没有使用政府性基金预算拨款、国有资本经营预算收入和纳入专户管理的非税收入拨款安排的支出，所以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15、16、17、18、19表均为空。</w:t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2"/>
          <w:sz w:val="32"/>
          <w:szCs w:val="32"/>
          <w:highlight w:val="none"/>
          <w:lang w:val="en-US" w:eastAsia="zh-CN" w:bidi="ar-SA"/>
        </w:rPr>
        <w:t>收入预算：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包括一般公共预算、政府性基金、国有资本经营预算等财政拨款收入，以及经营收入、事业收入等单位资金。2024年本单位收入预算75.91万元，其中，一般公共预算拨款75.91万元，政府性基金预算资金0.00万元(所以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15-17表为空)，国有资本经营预算资金0.00万元(所以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18表为空)，财政专户管理资金0.00万元(所以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19表为空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)，上级补助收入资金0.00万元，事业单位经营收入资金0.00万元，上年结转结余0.00万元。收入较上年减少5.11万元，下降6.31%。主要原因是党政机关带头过紧日子，勤俭办一切事业，建立节约型财政保障机制，不新增预算，严格控制机关事业单位的一般性支出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Chars="200"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/>
          <w:lang w:val="en-US" w:eastAsia="zh-CN"/>
        </w:rPr>
        <w:t xml:space="preserve">  </w:t>
      </w:r>
      <w:r>
        <w:drawing>
          <wp:inline distT="0" distB="0" distL="114300" distR="114300">
            <wp:extent cx="4826000" cy="2743200"/>
            <wp:effectExtent l="4445" t="4445" r="8255" b="52705"/>
            <wp:docPr id="8" name="图表 7" descr="7b0a202020202263686172745265734964223a20223230343736303933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kern w:val="2"/>
          <w:sz w:val="32"/>
          <w:szCs w:val="32"/>
          <w:lang w:val="en-US" w:eastAsia="zh-CN" w:bidi="ar-SA"/>
        </w:rPr>
        <w:t>支出预算：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支出预算75.91万元，其中：文化旅游体育与传媒支出61.49万元，社会保障和就业支出7.51万元，卫生健康支出2.6万元，住房保障支出4.31万元。支出较上年减少5.11万元，下降6.31%。主要原因是党政机关带头过紧日子，勤俭办一切事业，建立节约型财政保障机制，不新增预算，严格控制机关事业单位的一般性支出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/>
          <w:lang w:val="en-US" w:eastAsia="zh-CN"/>
        </w:rPr>
        <w:t xml:space="preserve">       </w:t>
      </w:r>
      <w:r>
        <w:drawing>
          <wp:inline distT="0" distB="0" distL="114300" distR="114300">
            <wp:extent cx="4596765" cy="3001010"/>
            <wp:effectExtent l="4445" t="4445" r="8890" b="23495"/>
            <wp:docPr id="2" name="图表 1" descr="7b0a202020202263686172745265734964223a20223230343735353931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四、一般公共预算拨款支出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一般公共预算拨款支出75.91万元，其中：文化旅游体育与传媒支出61.49万元，占81%；社会保障和就业支出7.51万元，占9.89%；卫生健康支出2.6万元，占3.43%；住房保障支出4.31万元，占5.68%。具体安排情况如下：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sz w:val="32"/>
          <w:szCs w:val="32"/>
        </w:rPr>
        <w:t>（一）基本支出：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2024年本单位基本支出预算数55.11万元，主要是为保障部门正常运转、完成日常工作任务而发生的各项支出，包括用于基本工资、津贴补贴等人员经费以及办公费、印刷费、水电费、办公设备购置等公用经费。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（二）项目支出：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2024年本单位项目支出预算20.8万元，主要是本单位为完成特定工作任务或事业发展目标而发生的支出，包括有关事业发展专项、专项业务费、基本建设支出等，其中：</w:t>
      </w:r>
      <w:r>
        <w:rPr>
          <w:rFonts w:hint="eastAsia" w:eastAsia="仿宋_GB2312"/>
          <w:sz w:val="32"/>
          <w:szCs w:val="32"/>
        </w:rPr>
        <w:t>文化旅游体育与传媒支出</w:t>
      </w:r>
      <w:r>
        <w:rPr>
          <w:rFonts w:hint="eastAsia" w:eastAsia="仿宋_GB2312"/>
          <w:sz w:val="32"/>
          <w:szCs w:val="32"/>
          <w:u w:val="single"/>
          <w:lang w:val="en-US" w:eastAsia="zh-CN"/>
        </w:rPr>
        <w:t>20.8</w:t>
      </w:r>
      <w:r>
        <w:rPr>
          <w:rFonts w:hint="eastAsia" w:eastAsia="仿宋_GB2312"/>
          <w:sz w:val="32"/>
          <w:szCs w:val="32"/>
        </w:rPr>
        <w:t>万元，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主要用于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文</w:t>
      </w:r>
      <w:r>
        <w:rPr>
          <w:rFonts w:hint="eastAsia" w:eastAsia="仿宋_GB2312"/>
          <w:sz w:val="32"/>
          <w:szCs w:val="32"/>
        </w:rPr>
        <w:t>化市场行政执法工作经费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等方面；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五、政府性基金预算支出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2024年度本单位无政府性基金安排的支出，所以公开的附件15-17表（政府性基金预算）为空。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六、其他重要事项的情况说明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（一）机关运行经费：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2024年岳阳市君山区文化市场综合行政执法大队部门机关运行经费4.8万元，比上年预算下降19.33%。主要原因是党政机关带头过紧日子，造成公用经费预算减少。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（二）“三公”经费预算：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024年本单位“三公”经费预算数为0.5万元，其中，公务接待费0.5万元，公务用车购置及运行费0万元（其中，公务用车购置费0万元，公务用车运行费0万元），因公出国（境）费0万元。</w:t>
      </w:r>
      <w:bookmarkStart w:id="1" w:name="END_IS_ZERO_06_1"/>
      <w:bookmarkEnd w:id="1"/>
      <w:bookmarkStart w:id="2" w:name="END_IS_ZERO_06_2"/>
      <w:bookmarkEnd w:id="2"/>
      <w:bookmarkStart w:id="3" w:name="DIS_MARK_IS_ZERO_06_2"/>
      <w:bookmarkEnd w:id="3"/>
      <w:bookmarkStart w:id="4" w:name="START_IS_ZERO_06_2"/>
      <w:bookmarkEnd w:id="4"/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2024年“三公”经费预算与2023年基本持平，主要是按照党中央、国务院关于过“紧日子”和坚持厉行节约反对浪费的要求，进一步严格公务接待费支出管理。</w:t>
      </w:r>
    </w:p>
    <w:p>
      <w:pPr>
        <w:widowControl/>
        <w:spacing w:line="600" w:lineRule="exact"/>
        <w:ind w:firstLine="660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（三）一般性支出情况：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2024年本单位会议费预算0万元，拟召开0次会议，人数0人；培训费预算0万元，拟开展0次培训，人数0人；未计划举办节庆、晚会、论坛、赛事活动，经费预算0 万元。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（四）政府采购情况：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2024年本单位政府采购预算总额13.5万元，其中，货物类采购预算11.1万元；工程类采购预算0万元；服务类采购预算2.4万元。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（五）国有资产占用使用及新增资产配置情况：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截至2023年12月底，本单位共有公务用车0辆，其中，机要通信用车0辆，应急保障用车0辆，执法执勤用车0辆，特种专业技术用车0辆，其他按照规定配备的公务用车0辆；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2024年拟新增配置公务用车0辆，其中，机要通信用车0辆，应急保障用车0辆，执法执勤用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车0辆，特种专业技术用车0辆，其他按照规定配备的公务用车0辆；新增配备单位价值50万元以上设备0台，其中，单位价值100万元以上设备0台。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（六）预算绩效目标说明：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本单位所有支出实行绩效目标管理。纳入2024年单位整体支出绩效目标的金额为75.91万元，其中，基本支出55.11万元，项目支出20.8万元，具体绩效目标详见文尾附表中部门预算公开表21-22表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七、名词解释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1．机关运行经费：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2．“三公”经费：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纳入省（市/县）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支出。</w:t>
      </w: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  <w:bookmarkStart w:id="5" w:name="_GoBack"/>
      <w:bookmarkEnd w:id="5"/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  <w:r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  <w:t>第二部分  2024年部门预算公开表格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eastAsia="zh-CN"/>
        </w:rPr>
        <w:t>本单位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无相关收支情况。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附件：岳阳市君山区文化市场综合行政执法大队2024年部门预算公开表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11038EA"/>
    <w:multiLevelType w:val="singleLevel"/>
    <w:tmpl w:val="511038EA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k4OWI1YTBjMDVmMmNiM2E1MjU2ZTkzMDY0OTdlNjQifQ=="/>
  </w:docVars>
  <w:rsids>
    <w:rsidRoot w:val="637274E6"/>
    <w:rsid w:val="02AE31E5"/>
    <w:rsid w:val="03973BE4"/>
    <w:rsid w:val="071D49F5"/>
    <w:rsid w:val="073A592F"/>
    <w:rsid w:val="0992531D"/>
    <w:rsid w:val="0A0D382D"/>
    <w:rsid w:val="0D8D68F1"/>
    <w:rsid w:val="0E4B58DB"/>
    <w:rsid w:val="0ED939EE"/>
    <w:rsid w:val="0F1663CA"/>
    <w:rsid w:val="13385187"/>
    <w:rsid w:val="150B3E23"/>
    <w:rsid w:val="167C1082"/>
    <w:rsid w:val="16B94831"/>
    <w:rsid w:val="1B156429"/>
    <w:rsid w:val="1C744CBF"/>
    <w:rsid w:val="200307FA"/>
    <w:rsid w:val="20A420AE"/>
    <w:rsid w:val="213E1D14"/>
    <w:rsid w:val="22CB72A5"/>
    <w:rsid w:val="230C7214"/>
    <w:rsid w:val="25D0735E"/>
    <w:rsid w:val="264178B0"/>
    <w:rsid w:val="29EC6874"/>
    <w:rsid w:val="2BF01473"/>
    <w:rsid w:val="2D6329A9"/>
    <w:rsid w:val="2EF502C5"/>
    <w:rsid w:val="305B1762"/>
    <w:rsid w:val="305B3D34"/>
    <w:rsid w:val="305C2E10"/>
    <w:rsid w:val="324A2389"/>
    <w:rsid w:val="328F1D91"/>
    <w:rsid w:val="32982A78"/>
    <w:rsid w:val="32C66482"/>
    <w:rsid w:val="35683252"/>
    <w:rsid w:val="35D63F1B"/>
    <w:rsid w:val="36050AA1"/>
    <w:rsid w:val="361C522A"/>
    <w:rsid w:val="36BE748E"/>
    <w:rsid w:val="372419C7"/>
    <w:rsid w:val="38C2711D"/>
    <w:rsid w:val="3951638D"/>
    <w:rsid w:val="39B300EB"/>
    <w:rsid w:val="3A242018"/>
    <w:rsid w:val="3BDE696C"/>
    <w:rsid w:val="3C2602EF"/>
    <w:rsid w:val="3CAD1E92"/>
    <w:rsid w:val="3F116709"/>
    <w:rsid w:val="3F150D8C"/>
    <w:rsid w:val="403F2E01"/>
    <w:rsid w:val="406B3344"/>
    <w:rsid w:val="44C24001"/>
    <w:rsid w:val="4555609A"/>
    <w:rsid w:val="460348D1"/>
    <w:rsid w:val="47E411CF"/>
    <w:rsid w:val="490966A2"/>
    <w:rsid w:val="49B605D8"/>
    <w:rsid w:val="4AD36F68"/>
    <w:rsid w:val="4ADD73C0"/>
    <w:rsid w:val="4BC03402"/>
    <w:rsid w:val="4DBF1A26"/>
    <w:rsid w:val="4EE728E7"/>
    <w:rsid w:val="51066F16"/>
    <w:rsid w:val="51B004D2"/>
    <w:rsid w:val="52241F08"/>
    <w:rsid w:val="526C69E8"/>
    <w:rsid w:val="533A1935"/>
    <w:rsid w:val="54244912"/>
    <w:rsid w:val="56301712"/>
    <w:rsid w:val="574216FD"/>
    <w:rsid w:val="576A0C54"/>
    <w:rsid w:val="58A12453"/>
    <w:rsid w:val="5A380B96"/>
    <w:rsid w:val="5D647EF4"/>
    <w:rsid w:val="5DE306BB"/>
    <w:rsid w:val="5E9E5003"/>
    <w:rsid w:val="5F3F29C6"/>
    <w:rsid w:val="603F267B"/>
    <w:rsid w:val="62210161"/>
    <w:rsid w:val="622D58F2"/>
    <w:rsid w:val="637274E6"/>
    <w:rsid w:val="63894210"/>
    <w:rsid w:val="64C7681D"/>
    <w:rsid w:val="662F72F1"/>
    <w:rsid w:val="66B263EF"/>
    <w:rsid w:val="69F61ED3"/>
    <w:rsid w:val="6A747021"/>
    <w:rsid w:val="6B49147A"/>
    <w:rsid w:val="6C0749A4"/>
    <w:rsid w:val="6C5E2742"/>
    <w:rsid w:val="6CB542C8"/>
    <w:rsid w:val="6CC62031"/>
    <w:rsid w:val="70AE175A"/>
    <w:rsid w:val="721F6E5B"/>
    <w:rsid w:val="72860C2E"/>
    <w:rsid w:val="728C4B01"/>
    <w:rsid w:val="729A1F96"/>
    <w:rsid w:val="739C7F8F"/>
    <w:rsid w:val="73BE1EBD"/>
    <w:rsid w:val="770C320D"/>
    <w:rsid w:val="78CC0C1A"/>
    <w:rsid w:val="791A5BDE"/>
    <w:rsid w:val="7AFB04E9"/>
    <w:rsid w:val="7C9338B5"/>
    <w:rsid w:val="7EBE5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autoRedefine/>
    <w:qFormat/>
    <w:uiPriority w:val="0"/>
    <w:pPr>
      <w:ind w:firstLine="420"/>
    </w:pPr>
    <w:rPr>
      <w:szCs w:val="20"/>
    </w:rPr>
  </w:style>
  <w:style w:type="paragraph" w:styleId="3">
    <w:name w:val="footer"/>
    <w:basedOn w:val="1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page number"/>
    <w:autoRedefine/>
    <w:qFormat/>
    <w:uiPriority w:val="0"/>
  </w:style>
  <w:style w:type="character" w:styleId="9">
    <w:name w:val="Hyperlink"/>
    <w:basedOn w:val="7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themeOverride" Target="../theme/themeOverride1.xml"/><Relationship Id="rId1" Type="http://schemas.openxmlformats.org/officeDocument/2006/relationships/oleObject" Target="file:///C:\Users\Administrator\Desktop\&#25910;&#20837;&#39044;&#31639;&#22270;.xlsx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oleObject" Target="file:///C:\Users\Administrator\Desktop\&#25910;&#20837;&#39044;&#31639;&#22270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0" vertOverflow="ellipsis" vert="horz" wrap="square" anchor="ctr" anchorCtr="1" forceAA="0"/>
          <a:lstStyle/>
          <a:p>
            <a:pPr>
              <a:defRPr lang="zh-CN" sz="1400" b="0" i="0" u="none" strike="noStrike" kern="1200" spc="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r>
              <a:t>收入预算图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25"/>
      <c:rotY val="0"/>
      <c:depthPercent val="100"/>
      <c:rAngAx val="0"/>
      <c:perspective val="2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spPr>
            <a:ln w="15875" cmpd="sng">
              <a:solidFill>
                <a:schemeClr val="bg1"/>
              </a:solidFill>
              <a:prstDash val="solid"/>
            </a:ln>
            <a:effectLst/>
            <a:scene3d>
              <a:camera prst="orthographicFront"/>
              <a:lightRig rig="threePt" dir="t"/>
            </a:scene3d>
            <a:sp3d contourW="15875" prstMaterial="flat"/>
          </c:spPr>
          <c:explosion val="0"/>
          <c:dPt>
            <c:idx val="0"/>
            <c:bubble3D val="0"/>
            <c:spPr>
              <a:gradFill>
                <a:gsLst>
                  <a:gs pos="0">
                    <a:schemeClr val="accent1">
                      <a:lumMod val="60000"/>
                      <a:lumOff val="40000"/>
                    </a:schemeClr>
                  </a:gs>
                  <a:gs pos="70000">
                    <a:schemeClr val="accent1"/>
                  </a:gs>
                </a:gsLst>
                <a:lin ang="13500000" scaled="0"/>
              </a:gradFill>
              <a:ln w="15875" cmpd="sng">
                <a:solidFill>
                  <a:schemeClr val="accent1">
                    <a:lumMod val="75000"/>
                  </a:schemeClr>
                </a:solidFill>
                <a:prstDash val="solid"/>
              </a:ln>
              <a:effectLst/>
              <a:scene3d>
                <a:camera prst="orthographicFront"/>
                <a:lightRig rig="threePt" dir="t"/>
              </a:scene3d>
              <a:sp3d contourW="15875" prstMaterial="flat"/>
            </c:spPr>
          </c:dPt>
          <c:dLbls>
            <c:dLbl>
              <c:idx val="0"/>
              <c:layout/>
              <c:numFmt formatCode="General" sourceLinked="1"/>
              <c:spPr>
                <a:noFill/>
                <a:ln>
                  <a:noFill/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 forceAA="0"/>
                <a:lstStyle/>
                <a:p>
                  <a:pPr>
                    <a:defRPr lang="zh-CN" sz="900" b="0" i="0" u="none" strike="noStrike" kern="1200" baseline="0">
                      <a:solidFill>
                        <a:schemeClr val="bg1"/>
                      </a:solidFill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inEnd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General" sourceLinked="1"/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 forceAA="0"/>
              <a:lstStyle/>
              <a:p>
                <a:pPr>
                  <a:defRPr lang="zh-CN" sz="900" b="0" i="0" u="none" strike="noStrike" kern="1200" baseline="0">
                    <a:solidFill>
                      <a:schemeClr val="bg1"/>
                    </a:solidFill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  <a:latin typeface="+mn-lt"/>
                    <a:ea typeface="+mn-ea"/>
                    <a:cs typeface="+mn-cs"/>
                  </a:defRPr>
                </a:pPr>
              </a:p>
            </c:txPr>
            <c:dLblPos val="inEnd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prstDash val="solid"/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extLst>
                <c:ext xmlns:c15="http://schemas.microsoft.com/office/drawing/2012/chart" uri="{02D57815-91ED-43cb-92C2-25804820EDAC}">
                  <c15:fullRef>
                    <c15:sqref>[收入预算图.xlsx]Sheet1!$B$31:$B$32</c15:sqref>
                  </c15:fullRef>
                </c:ext>
              </c:extLst>
              <c:f>[收入预算图.xlsx]Sheet1!$B$31</c:f>
              <c:strCache>
                <c:ptCount val="1"/>
                <c:pt idx="0">
                  <c:v>一般公共预算拨款收入</c:v>
                </c:pt>
              </c:strCache>
            </c:strRef>
          </c:cat>
          <c:val>
            <c:numRef>
              <c:extLst>
                <c:ext xmlns:c15="http://schemas.microsoft.com/office/drawing/2012/chart" uri="{02D57815-91ED-43cb-92C2-25804820EDAC}">
                  <c15:fullRef>
                    <c15:sqref>Sheet1!$C$31:$C$32</c15:sqref>
                  </c15:fullRef>
                </c:ext>
              </c:extLst>
              <c:f>[收入预算图.xlsx]Sheet1!$C$31</c:f>
              <c:numCache>
                <c:formatCode>0%</c:formatCode>
                <c:ptCount val="1"/>
                <c:pt idx="0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</c:dLbls>
      </c:pie3DChart>
      <c:spPr>
        <a:noFill/>
        <a:ln>
          <a:noFill/>
        </a:ln>
        <a:effectLst/>
      </c:spPr>
    </c:plotArea>
    <c:legend>
      <c:legendPos val="r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 forceAA="0"/>
        <a:lstStyle/>
        <a:p>
          <a:pPr>
            <a:defRPr lang="zh-CN" sz="900" b="0" i="0" u="none" strike="noStrike" kern="1200" baseline="0">
              <a:solidFill>
                <a:schemeClr val="tx1">
                  <a:lumMod val="50000"/>
                  <a:lumOff val="50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bg1">
          <a:lumMod val="85000"/>
        </a:schemeClr>
      </a:solidFill>
      <a:prstDash val="solid"/>
      <a:round/>
    </a:ln>
    <a:effectLst>
      <a:outerShdw blurRad="63500" dist="37357" dir="2700000" sx="0" sy="0" rotWithShape="0">
        <a:scrgbClr r="0" g="0" b="0"/>
      </a:outerShdw>
    </a:effectLst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>
              <a:defRPr lang="zh-CN" sz="14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t>支出预算图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effectLst/>
      </c:spPr>
    </c:floor>
    <c:sideWall>
      <c:thickness val="0"/>
      <c:spPr>
        <a:noFill/>
        <a:effectLst/>
      </c:spPr>
    </c:sideWall>
    <c:backWall>
      <c:thickness val="0"/>
      <c:spPr>
        <a:noFill/>
        <a:effectLst/>
      </c:spPr>
    </c:backWall>
    <c:plotArea>
      <c:layout>
        <c:manualLayout>
          <c:layoutTarget val="inner"/>
          <c:xMode val="edge"/>
          <c:yMode val="edge"/>
          <c:x val="0.0867440254178754"/>
          <c:y val="0.302044011849344"/>
          <c:w val="0.826511949164249"/>
          <c:h val="0.612797291578502"/>
        </c:manualLayout>
      </c:layout>
      <c:pie3DChart>
        <c:varyColors val="1"/>
        <c:ser>
          <c:idx val="0"/>
          <c:order val="0"/>
          <c:spPr>
            <a:scene3d>
              <a:camera prst="orthographicFront"/>
              <a:lightRig rig="threePt" dir="t"/>
            </a:scene3d>
            <a:sp3d contourW="9525"/>
          </c:spPr>
          <c:explosion val="0"/>
          <c:dPt>
            <c:idx val="0"/>
            <c:bubble3D val="0"/>
            <c:spPr>
              <a:gradFill>
                <a:gsLst>
                  <a:gs pos="100000">
                    <a:schemeClr val="accent1"/>
                  </a:gs>
                  <a:gs pos="0">
                    <a:schemeClr val="accent1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1">
                        <a:lumMod val="75000"/>
                      </a:schemeClr>
                    </a:gs>
                    <a:gs pos="0">
                      <a:schemeClr val="accent1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1"/>
            <c:bubble3D val="0"/>
            <c:spPr>
              <a:gradFill>
                <a:gsLst>
                  <a:gs pos="100000">
                    <a:schemeClr val="accent2"/>
                  </a:gs>
                  <a:gs pos="0">
                    <a:schemeClr val="accent2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2">
                        <a:lumMod val="75000"/>
                      </a:schemeClr>
                    </a:gs>
                    <a:gs pos="0">
                      <a:schemeClr val="accent2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2"/>
            <c:bubble3D val="0"/>
            <c:spPr>
              <a:gradFill>
                <a:gsLst>
                  <a:gs pos="100000">
                    <a:schemeClr val="accent3"/>
                  </a:gs>
                  <a:gs pos="0">
                    <a:schemeClr val="accent3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3">
                        <a:lumMod val="75000"/>
                      </a:schemeClr>
                    </a:gs>
                    <a:gs pos="0">
                      <a:schemeClr val="accent3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3"/>
            <c:bubble3D val="0"/>
            <c:spPr>
              <a:gradFill>
                <a:gsLst>
                  <a:gs pos="100000">
                    <a:schemeClr val="accent4"/>
                  </a:gs>
                  <a:gs pos="0">
                    <a:schemeClr val="accent4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4">
                        <a:lumMod val="75000"/>
                      </a:schemeClr>
                    </a:gs>
                    <a:gs pos="0">
                      <a:schemeClr val="accent4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Lbls>
            <c:dLbl>
              <c:idx val="0"/>
              <c:layout>
                <c:manualLayout>
                  <c:x val="-0.0217559510263529"/>
                  <c:y val="0.00882887040751033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0.121836119124768"/>
                  <c:y val="0.0356008671323811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0.130597809552784"/>
                  <c:y val="-0.0692934782608696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-0.240660118818549"/>
                  <c:y val="0.0108389392220462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numFmt formatCode="0.00%" sourceLinked="0"/>
            <c:spPr>
              <a:solidFill>
                <a:sysClr val="window" lastClr="FFFFFF"/>
              </a:solidFill>
              <a:ln>
                <a:solidFill>
                  <a:sysClr val="windowText" lastClr="000000">
                    <a:lumMod val="65000"/>
                    <a:lumOff val="35000"/>
                  </a:sysClr>
                </a:solidFill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outEnd"/>
            <c:showLegendKey val="0"/>
            <c:showVal val="0"/>
            <c:showCatName val="1"/>
            <c:showSerName val="0"/>
            <c:showPercent val="1"/>
            <c:showBubbleSize val="0"/>
            <c:separator> </c:separator>
            <c:showLeaderLines val="1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oundRect">
                    <a:avLst/>
                  </a:prstGeom>
                  <a:noFill/>
                  <a:ln>
                    <a:noFill/>
                  </a:ln>
                </c15:spPr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[收入预算图.xlsx]Sheet1!$B$2:$B$5</c:f>
              <c:strCache>
                <c:ptCount val="4"/>
                <c:pt idx="0">
                  <c:v>社会保障和就业支出</c:v>
                </c:pt>
                <c:pt idx="1">
                  <c:v>卫生健康支出</c:v>
                </c:pt>
                <c:pt idx="2">
                  <c:v>文化旅游体育与传媒支出</c:v>
                </c:pt>
                <c:pt idx="3">
                  <c:v>住房保障支出</c:v>
                </c:pt>
              </c:strCache>
            </c:strRef>
          </c:cat>
          <c:val>
            <c:numRef>
              <c:f>[收入预算图.xlsx]Sheet1!$C$2:$C$5</c:f>
              <c:numCache>
                <c:formatCode>0.00%</c:formatCode>
                <c:ptCount val="4"/>
                <c:pt idx="0">
                  <c:v>0.0989</c:v>
                </c:pt>
                <c:pt idx="1">
                  <c:v>0.0343</c:v>
                </c:pt>
                <c:pt idx="2">
                  <c:v>0.81</c:v>
                </c:pt>
                <c:pt idx="3">
                  <c:v>0.0568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</c:dLbls>
      </c:pie3DChart>
      <c:spPr>
        <a:noFill/>
        <a:ln>
          <a:noFill/>
        </a:ln>
        <a:effectLst/>
      </c:spPr>
    </c:plotArea>
    <c:legend>
      <c:legendPos val="t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lt1">
        <a:lumMod val="96000"/>
      </a:schemeClr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10097">
  <cs:axisTitle>
    <cs:lnRef idx="0"/>
    <cs:fillRef idx="0"/>
    <cs:effectRef idx="0"/>
    <cs:fontRef idx="minor">
      <a:schemeClr val="dk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lt1">
          <a:lumMod val="96000"/>
        </a:schemeClr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>
      <cs:styleClr val="auto"/>
    </cs:lnRef>
    <cs:fillRef idx="0">
      <cs:styleClr val="auto"/>
    </cs:fillRef>
    <cs:effectRef idx="0"/>
    <cs:fontRef idx="minor">
      <a:schemeClr val="dk1"/>
    </cs:fontRef>
    <cs:spPr>
      <a:gradFill>
        <a:gsLst>
          <a:gs pos="100000">
            <a:schemeClr val="phClr"/>
          </a:gs>
          <a:gs pos="0">
            <a:schemeClr val="phClr">
              <a:hueOff val="-1670000"/>
            </a:schemeClr>
          </a:gs>
        </a:gsLst>
        <a:lin ang="5400000" scaled="0"/>
      </a:gradFill>
      <a:ln>
        <a:gradFill>
          <a:gsLst>
            <a:gs pos="100000">
              <a:schemeClr val="phClr">
                <a:lumMod val="75000"/>
              </a:schemeClr>
            </a:gs>
            <a:gs pos="0">
              <a:schemeClr val="phClr">
                <a:lumMod val="75000"/>
                <a:hueOff val="-1670000"/>
              </a:schemeClr>
            </a:gs>
          </a:gsLst>
          <a:lin ang="4620000" scaled="0"/>
        </a:gradFill>
      </a:ln>
      <a:effectLst/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noFill/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75000"/>
            <a:lumOff val="25000"/>
          </a:schemeClr>
        </a:solidFill>
      </a:ln>
    </cs:spPr>
  </cs:hiLoLine>
  <cs:leader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word/theme/themeOverride1.xml><?xml version="1.0" encoding="utf-8"?>
<a:themeOverride xmlns:a="http://schemas.openxmlformats.org/drawingml/2006/main">
  <a:clrScheme name="自定义 6">
    <a:dk1>
      <a:srgbClr val="000000"/>
    </a:dk1>
    <a:lt1>
      <a:srgbClr val="FFFFFF"/>
    </a:lt1>
    <a:dk2>
      <a:srgbClr val="0C0E1F"/>
    </a:dk2>
    <a:lt2>
      <a:srgbClr val="FEFFFF"/>
    </a:lt2>
    <a:accent1>
      <a:srgbClr val="54C9FA"/>
    </a:accent1>
    <a:accent2>
      <a:srgbClr val="6C92FD"/>
    </a:accent2>
    <a:accent3>
      <a:srgbClr val="FF731F"/>
    </a:accent3>
    <a:accent4>
      <a:srgbClr val="16CC8A"/>
    </a:accent4>
    <a:accent5>
      <a:srgbClr val="FFC619"/>
    </a:accent5>
    <a:accent6>
      <a:srgbClr val="4E37FF"/>
    </a:accent6>
    <a:hlink>
      <a:srgbClr val="304FFE"/>
    </a:hlink>
    <a:folHlink>
      <a:srgbClr val="492067"/>
    </a:folHlink>
  </a:clrScheme>
  <a:fontScheme name="自定义 2">
    <a:majorFont>
      <a:latin typeface="微软雅黑"/>
      <a:ea typeface="微软雅黑"/>
      <a:cs typeface=""/>
    </a:majorFont>
    <a:minorFont>
      <a:latin typeface="微软雅黑"/>
      <a:ea typeface="微软雅黑"/>
      <a:cs typeface="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13</Pages>
  <Words>3995</Words>
  <Characters>4257</Characters>
  <Lines>0</Lines>
  <Paragraphs>0</Paragraphs>
  <TotalTime>0</TotalTime>
  <ScaleCrop>false</ScaleCrop>
  <LinksUpToDate>false</LinksUpToDate>
  <CharactersWithSpaces>4275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2024-05-22T14:39:00Z</dcterms:created>
  <dc:creator>dell</dc:creator>
  <cp:lastModifiedBy>李瑞</cp:lastModifiedBy>
  <dcterms:modified xsi:type="dcterms:W3CDTF">2024-06-08T12:07:37Z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162E544386AE4D92BF8D6E0D87531EEF_13</vt:lpwstr>
  </property>
</Properties>
</file>