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中共岳阳市君山区委统一战线工作部</w:t>
      </w:r>
    </w:p>
    <w:p>
      <w:pPr>
        <w:spacing w:line="570" w:lineRule="atLeas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2024年部门预算公开</w:t>
      </w:r>
    </w:p>
    <w:p>
      <w:pPr>
        <w:rPr>
          <w:rFonts w:hint="eastAsia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（一）职能职责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1.贯彻执行中央、省委、市委关于统一战线的方针、政策，调查研究统一战线理论和重大方针政策，向区委反映情况，提出全区开展统战工作的意见和建议。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负责联系各民主党派和无党派代表人士，及时通报情况，反映他们的意见和建议；研究、贯彻党领导的多党合作和政治协商制度及民主党派的方针、政策；落实党中央、省委、市委关于发挥民主党派参政议政和民主监督作用的指示与决定；支持和帮助各民主党派加强自身建设，选拔、培养新一代代表人物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3.负责调查研究、协调检查有关民族、宗教工作的重大方针、政策问题；联系少数民族和宗教界上层人士，协助有关部门做好少数民族干部的培养和举荐工作。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4.开展以祖国统一为重点的海外统战工作；联系海外有关社团及代表人士。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5.负责党外人士的政治安排，会同有关部门做好培养、考察、选拔、推荐党外人士担任政府及司法机关领导职务的工作；做好党外干部和新的代表人物队伍的建设工作。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6.负责联系海内外工商界社团和代表人士；调查、研究并反映本区非公有制经济代表人物的情况，协调关系，提出政策建议。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7.调查研究党外知识分子的情况，反映情况，协调关系，提出政策建议；联系并培养党外知识分子的代表人物。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8.发展开展海内外统一战线的宣传工作。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9.指导各镇（办事处）、场统战工作，协调政府各有关部门的统战工作；联系、指导统战部门归口单位的工作，领导和管理区台联等有关社会团体的工作。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10.指导非公有制经济组织党的建设工作，提出非公有制经济组织党组织设置方案，推荐非公有制经济组织中的党组织领导成员和优秀代表人士。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11.提出区“万企联村”工作方案，指导政府各有关部门、各镇（办事处）、场和各企业开展“万企联村”活动。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12.完成区委交办的其他任务。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（二）机构设置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君山区委统一战线工作部内设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5个股室，分别为办公室、非公经济办、民主党派办、民宗办和区政府侨办，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二级机构为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区民族宗教事务中心。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本部门预算为汇总预算，纳入2024年部门预算编制范围的预算单位包括：</w:t>
      </w: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1、君山区委统战部本级</w:t>
      </w: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2、君山区工商业联合会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</w:rPr>
        <w:t>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部门2024年没有政府性基金预算拨款、国有资本经营预算收入和纳入专户管理的非税收入拨款收入，也没有使用政府性基金预算拨款、国有资本经营预算收入和纳入专户管理的非税收入拨款安排的支出，所以部门预算公开表15、16、17、18、19表均为空。</w:t>
      </w:r>
    </w:p>
    <w:p>
      <w:pPr>
        <w:numPr>
          <w:ilvl w:val="0"/>
          <w:numId w:val="1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收入预算：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包括一般公共预算、政府性基金、国有资本经营预算等财政拨款收入，以及经营收入、事业收入等单位资金。2024年本部门收入预算336.56万元，其中，一般公共预算拨款336.56万元，政府性基金预算资金0.00万元(所以部门预算公开表15-17表为空)，国有资本经营预算资金0.00万元(所以部门预算公开表18表为空)，财政专户管理资金0.00万元(所以部门预算公开表19表为空)，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级补助收入资金0.00万元，事业单位经营收入资金0.00万元，上年结转结余0.00万元。收入较去年增加2.36万元，上升0.71%，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主要原因为工资提标导致预算收入较上年增长。</w:t>
      </w:r>
    </w:p>
    <w:p>
      <w:pPr>
        <w:numPr>
          <w:ilvl w:val="0"/>
          <w:numId w:val="0"/>
        </w:num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4826000" cy="2743200"/>
            <wp:effectExtent l="4445" t="4445" r="8255" b="52705"/>
            <wp:docPr id="8" name="图表 7" descr="7b0a202020202263686172745265734964223a20223230343736303933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numPr>
          <w:ilvl w:val="0"/>
          <w:numId w:val="1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2024年本部门支出预算336.56万元其中：一般公共服务支出287.24万元，社会保障和就业支出24.41万元，卫生健康支出9.42万元，住房保障支出15.49万元。支出较去年增加2.36万元，上升0.71%。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主要原因为工资提标导致预算收入较上年增长。</w:t>
      </w:r>
    </w:p>
    <w:p>
      <w:pPr>
        <w:widowControl w:val="0"/>
        <w:numPr>
          <w:ilvl w:val="0"/>
          <w:numId w:val="0"/>
        </w:numPr>
        <w:spacing w:line="570" w:lineRule="atLeast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4596765" cy="3001010"/>
            <wp:effectExtent l="4445" t="4445" r="8890" b="23495"/>
            <wp:docPr id="2" name="图表 1" descr="7b0a202020202263686172745265734964223a202232303437353539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部门一般公共预算拨款支出336.56万元，其中：一般公共服务支出287.24万元，占85.34%；社会保障和就业支出24.41万元，占7.26%；卫生健康支出9.42万元，占2.8%；住房保障支出15.49万元，占4.6%。具体安排情况如下：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2024年本部门基本支出预算数210.95万元，主要是为保障部门正常运转、完成日常工作任务而发生的各项支出，包括用于基本工资、津贴补贴等人员经费以及办公费、印刷费、水电费、办公设备购置等公用经费。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2024年本部门项目支出预算125.61万元，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主要是部门为完成特定行政工作任务或事业发展目标而发生的支出，包括</w:t>
      </w:r>
      <w:r>
        <w:rPr>
          <w:rFonts w:eastAsia="仿宋_GB2312"/>
          <w:sz w:val="32"/>
          <w:szCs w:val="32"/>
        </w:rPr>
        <w:t>包括</w:t>
      </w:r>
      <w:r>
        <w:rPr>
          <w:rFonts w:hint="eastAsia" w:eastAsia="仿宋_GB2312"/>
          <w:sz w:val="32"/>
          <w:szCs w:val="32"/>
          <w:lang w:eastAsia="zh-CN"/>
        </w:rPr>
        <w:t>业务工作经费支出、运行维护经费</w:t>
      </w:r>
      <w:r>
        <w:rPr>
          <w:rFonts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其中：一般公共服务支出125.61万元，</w:t>
      </w:r>
      <w:r>
        <w:rPr>
          <w:rFonts w:hint="eastAsia" w:eastAsia="仿宋_GB2312"/>
          <w:sz w:val="32"/>
          <w:szCs w:val="32"/>
        </w:rPr>
        <w:t>主要用于同心工程、万企联村及非公经济代表、民主党派、侨联等统战部各项工作经费等；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2024年度本部门无政府性基金安排的支出，所以公开的附件15-17表（政府性基金预算）为空。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 w:firstLine="643" w:firstLineChars="200"/>
        <w:jc w:val="both"/>
        <w:textAlignment w:val="center"/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（一）机关运行经费：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2024年本单位本级</w:t>
      </w: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和</w:t>
      </w:r>
      <w:r>
        <w:rPr>
          <w:rFonts w:eastAsia="仿宋_GB2312"/>
          <w:sz w:val="32"/>
          <w:szCs w:val="32"/>
        </w:rPr>
        <w:t>君山区工商业联合会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行政事业单位共2家汇总的机关运行经费32.54万元，2024年运行经费与2023年基本持平</w:t>
      </w: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，主要原因为人员没有发生变化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（二）“三公”经费预算：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年本单位</w:t>
      </w:r>
      <w:r>
        <w:rPr>
          <w:rFonts w:hint="eastAsia" w:eastAsia="仿宋_GB2312"/>
          <w:sz w:val="32"/>
          <w:szCs w:val="32"/>
        </w:rPr>
        <w:t>本级</w:t>
      </w:r>
      <w:r>
        <w:rPr>
          <w:rFonts w:eastAsia="仿宋_GB2312"/>
          <w:sz w:val="32"/>
          <w:szCs w:val="32"/>
        </w:rPr>
        <w:t>行政事业单位</w:t>
      </w:r>
      <w:r>
        <w:rPr>
          <w:rFonts w:hint="eastAsia" w:eastAsia="仿宋_GB2312"/>
          <w:sz w:val="32"/>
          <w:szCs w:val="32"/>
        </w:rPr>
        <w:t>共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家汇总的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“三公”经费预算数为3.8万元，其中，公务接待费3.8万元，公务用车购置及运行费0万元（其中，公务用车购置费0万元，公务用车运行费0万元），因公出国（境）费0万元。2024年“三公”经费预算较2023年增加了1.9万元，主要原因是2024年招商引资及统战工作进一步加强，导致公务接待人次增加。</w:t>
      </w:r>
      <w:bookmarkStart w:id="0" w:name="END_IS_ZERO_06_1"/>
      <w:bookmarkEnd w:id="0"/>
      <w:bookmarkStart w:id="1" w:name="END_IS_ZERO_06_2"/>
      <w:bookmarkEnd w:id="1"/>
      <w:bookmarkStart w:id="2" w:name="START_IS_ZERO_06_2"/>
      <w:bookmarkEnd w:id="2"/>
      <w:bookmarkStart w:id="3" w:name="DIS_MARK_IS_ZERO_06_2"/>
      <w:bookmarkEnd w:id="3"/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2024年本部门会议费预算0万元，拟召开0次会议，人数0人；培训费预算0万元，拟开展0次培训，人数0人；未计划举办节庆、晚会、论坛、赛事活动，经费预算0万元。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（四）政府采购情况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2024年本部门政府采购预算总额78.3万元，其中，货物类采购预算13.3万元；工程类采购预算0万元；服务类采购预算65万元。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截至2023年12月底，本单位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2024年拟新增配置公务用车0辆，其中，机要通信用车0辆，应急保障用车0辆，执法执勤用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车0辆，特种专业技术用车0辆，其他按照规定配备的公务用车0辆；新增配备单位价值50万元以上设备0台，其中，单位价值100万元以上设备0台。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本部门所有支出实行绩效目标管理。纳入2024年部门整体支出绩效目标的金额为336.56万元，其中，基本支出210.95万元，项目支出125.61万元，具体绩效目标详见文尾附表中部门预算公开表21-2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spacing w:line="570" w:lineRule="atLeast"/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4" w:name="_GoBack"/>
      <w:bookmarkEnd w:id="4"/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  <w:t>第二部分  2024年部门预算公开表格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附件：中共岳阳市君山区委统一战线工作部2024年部门预算公开表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both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50E854"/>
    <w:multiLevelType w:val="singleLevel"/>
    <w:tmpl w:val="A250E85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OWI1YTBjMDVmMmNiM2E1MjU2ZTkzMDY0OTdlNjQifQ=="/>
  </w:docVars>
  <w:rsids>
    <w:rsidRoot w:val="637274E6"/>
    <w:rsid w:val="001669D4"/>
    <w:rsid w:val="010827C0"/>
    <w:rsid w:val="010D1261"/>
    <w:rsid w:val="05974297"/>
    <w:rsid w:val="066547B5"/>
    <w:rsid w:val="0794481D"/>
    <w:rsid w:val="08B97B9F"/>
    <w:rsid w:val="09774987"/>
    <w:rsid w:val="0BC81D71"/>
    <w:rsid w:val="0BD240F7"/>
    <w:rsid w:val="0BFB38B9"/>
    <w:rsid w:val="0C923A83"/>
    <w:rsid w:val="0E5B42C5"/>
    <w:rsid w:val="112B4160"/>
    <w:rsid w:val="11A2545A"/>
    <w:rsid w:val="13B9253E"/>
    <w:rsid w:val="15C16A2A"/>
    <w:rsid w:val="167C1082"/>
    <w:rsid w:val="16FB76F0"/>
    <w:rsid w:val="177C760C"/>
    <w:rsid w:val="1AB469DE"/>
    <w:rsid w:val="1BD61953"/>
    <w:rsid w:val="1C6F6CFF"/>
    <w:rsid w:val="1C744CBF"/>
    <w:rsid w:val="1ECC4DAF"/>
    <w:rsid w:val="1F8F2DF1"/>
    <w:rsid w:val="20CE0ED9"/>
    <w:rsid w:val="22CF50BC"/>
    <w:rsid w:val="22E36792"/>
    <w:rsid w:val="22F74C08"/>
    <w:rsid w:val="232333DF"/>
    <w:rsid w:val="25BF7042"/>
    <w:rsid w:val="29BC4134"/>
    <w:rsid w:val="2B98280F"/>
    <w:rsid w:val="2C6F6899"/>
    <w:rsid w:val="2C8B2374"/>
    <w:rsid w:val="2CD84711"/>
    <w:rsid w:val="2D3A78E3"/>
    <w:rsid w:val="2DD557A0"/>
    <w:rsid w:val="328F1D91"/>
    <w:rsid w:val="3C8308D1"/>
    <w:rsid w:val="40CB3DA1"/>
    <w:rsid w:val="427D1B8C"/>
    <w:rsid w:val="436D70FC"/>
    <w:rsid w:val="46004DE1"/>
    <w:rsid w:val="49B90028"/>
    <w:rsid w:val="4AF62C56"/>
    <w:rsid w:val="4B7A2FFC"/>
    <w:rsid w:val="4DBA372C"/>
    <w:rsid w:val="4E511DD4"/>
    <w:rsid w:val="4EE728E7"/>
    <w:rsid w:val="51B62990"/>
    <w:rsid w:val="52E837CD"/>
    <w:rsid w:val="584D797F"/>
    <w:rsid w:val="5B525B22"/>
    <w:rsid w:val="5BCD52BC"/>
    <w:rsid w:val="5D4F6922"/>
    <w:rsid w:val="62CB7F2F"/>
    <w:rsid w:val="637274E6"/>
    <w:rsid w:val="65385EEE"/>
    <w:rsid w:val="659A6EE8"/>
    <w:rsid w:val="666D1BC7"/>
    <w:rsid w:val="68675E30"/>
    <w:rsid w:val="699851AD"/>
    <w:rsid w:val="6C601EDD"/>
    <w:rsid w:val="6D6656CC"/>
    <w:rsid w:val="6DE7565E"/>
    <w:rsid w:val="72A44BC2"/>
    <w:rsid w:val="73626AED"/>
    <w:rsid w:val="74E078D2"/>
    <w:rsid w:val="76F42D6F"/>
    <w:rsid w:val="78CC0C1A"/>
    <w:rsid w:val="79CF5EF9"/>
    <w:rsid w:val="7C7F7F1A"/>
    <w:rsid w:val="7D5A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Administrator\Desktop\&#25910;&#20837;&#39044;&#31639;&#2227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5910;&#20837;&#39044;&#31639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25"/>
      <c:rotY val="0"/>
      <c:depthPercent val="10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 w="15875" cmpd="sng">
              <a:solidFill>
                <a:schemeClr val="bg1"/>
              </a:solidFill>
              <a:prstDash val="solid"/>
            </a:ln>
            <a:effectLst/>
            <a:scene3d>
              <a:camera prst="orthographicFront"/>
              <a:lightRig rig="threePt" dir="t"/>
            </a:scene3d>
            <a:sp3d contourW="15875" prstMaterial="flat"/>
          </c:spPr>
          <c:explosion val="0"/>
          <c:dPt>
            <c:idx val="0"/>
            <c:bubble3D val="0"/>
            <c:spPr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70000">
                    <a:schemeClr val="accent1"/>
                  </a:gs>
                </a:gsLst>
                <a:lin ang="13500000" scaled="0"/>
              </a:gradFill>
              <a:ln w="15875" cmpd="sng">
                <a:solidFill>
                  <a:schemeClr val="accent1">
                    <a:lumMod val="75000"/>
                  </a:schemeClr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 contourW="15875" prstMaterial="flat"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[收入预算图.xlsx]Sheet1!$B$31:$B$32</c15:sqref>
                  </c15:fullRef>
                </c:ext>
              </c:extLst>
              <c:f>[收入预算图.xlsx]Sheet1!$B$31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Sheet1!$C$31:$C$32</c15:sqref>
                  </c15:fullRef>
                </c:ext>
              </c:extLst>
              <c:f>[收入预算图.xlsx]Sheet1!$C$31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0867440254178754"/>
          <c:y val="0.302044011849344"/>
          <c:w val="0.826511949164249"/>
          <c:h val="0.612797291578502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10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1">
                        <a:lumMod val="75000"/>
                      </a:schemeClr>
                    </a:gs>
                    <a:gs pos="0">
                      <a:schemeClr val="accent1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3">
                        <a:lumMod val="75000"/>
                      </a:schemeClr>
                    </a:gs>
                    <a:gs pos="0">
                      <a:schemeClr val="accent3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75000"/>
                      </a:schemeClr>
                    </a:gs>
                    <a:gs pos="0">
                      <a:schemeClr val="accent4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Lbls>
            <c:dLbl>
              <c:idx val="0"/>
              <c:layout>
                <c:manualLayout>
                  <c:x val="-0.04247704510012"/>
                  <c:y val="-0.0260843754663788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21836119124768"/>
                  <c:y val="0.035600867132381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30597809552784"/>
                  <c:y val="-0.0692934782608696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240660118818549"/>
                  <c:y val="0.0108389392220462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[收入预算图.xlsx]Sheet1!$B$2:$B$5</c:f>
              <c:strCache>
                <c:ptCount val="4"/>
                <c:pt idx="0">
                  <c:v>社会保障和就业支出</c:v>
                </c:pt>
                <c:pt idx="1">
                  <c:v>卫生健康支出</c:v>
                </c:pt>
                <c:pt idx="2">
                  <c:v>一般公共服务支出</c:v>
                </c:pt>
                <c:pt idx="3">
                  <c:v>住房保障支出</c:v>
                </c:pt>
              </c:strCache>
            </c:strRef>
          </c:cat>
          <c:val>
            <c:numRef>
              <c:f>[收入预算图.xlsx]Sheet1!$C$2:$C$5</c:f>
              <c:numCache>
                <c:formatCode>0.00%</c:formatCode>
                <c:ptCount val="4"/>
                <c:pt idx="0">
                  <c:v>0.0725999999999999</c:v>
                </c:pt>
                <c:pt idx="1">
                  <c:v>0.028</c:v>
                </c:pt>
                <c:pt idx="2">
                  <c:v>0.8534</c:v>
                </c:pt>
                <c:pt idx="3">
                  <c:v>0.046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6">
    <a:dk1>
      <a:srgbClr val="000000"/>
    </a:dk1>
    <a:lt1>
      <a:srgbClr val="FFFFFF"/>
    </a:lt1>
    <a:dk2>
      <a:srgbClr val="0C0E1F"/>
    </a:dk2>
    <a:lt2>
      <a:srgbClr val="FEFFFF"/>
    </a:lt2>
    <a:accent1>
      <a:srgbClr val="54C9FA"/>
    </a:accent1>
    <a:accent2>
      <a:srgbClr val="6C92FD"/>
    </a:accent2>
    <a:accent3>
      <a:srgbClr val="FF731F"/>
    </a:accent3>
    <a:accent4>
      <a:srgbClr val="16CC8A"/>
    </a:accent4>
    <a:accent5>
      <a:srgbClr val="FFC619"/>
    </a:accent5>
    <a:accent6>
      <a:srgbClr val="4E37FF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3847</Words>
  <Characters>4138</Characters>
  <Lines>0</Lines>
  <Paragraphs>0</Paragraphs>
  <TotalTime>3</TotalTime>
  <ScaleCrop>false</ScaleCrop>
  <LinksUpToDate>false</LinksUpToDate>
  <CharactersWithSpaces>4158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李瑞</cp:lastModifiedBy>
  <dcterms:modified xsi:type="dcterms:W3CDTF">2024-06-08T09:25:12Z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60BC7339106041DA91BAB39D0CD3151D_13</vt:lpwstr>
  </property>
</Properties>
</file>