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olors1.xml" ContentType="application/vnd.ms-office.chartcolorstyle+xml"/>
  <Override PartName="/word/charts/style1.xml" ContentType="application/vnd.ms-office.chartstyle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theme/themeOverride1.xml" ContentType="application/vnd.openxmlformats-officedocument.themeOverrid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ind w:firstLine="2209" w:firstLineChars="500"/>
        <w:jc w:val="both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  <w:t>岳阳市君山区司法局</w:t>
      </w:r>
    </w:p>
    <w:p>
      <w:pPr>
        <w:spacing w:line="570" w:lineRule="atLeast"/>
        <w:ind w:firstLine="2209" w:firstLineChars="500"/>
        <w:jc w:val="both"/>
        <w:rPr>
          <w:rFonts w:hint="eastAsia" w:ascii="黑体" w:hAnsi="黑体" w:eastAsia="黑体" w:cs="黑体"/>
          <w:b/>
          <w:bCs/>
          <w:sz w:val="48"/>
          <w:szCs w:val="48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</w:rPr>
        <w:t>2024年部门预算公开</w:t>
      </w:r>
    </w:p>
    <w:p>
      <w:pPr>
        <w:jc w:val="center"/>
        <w:rPr>
          <w:rFonts w:hint="eastAsia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both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  <w:r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  <w:t>目 录</w:t>
      </w:r>
    </w:p>
    <w:p>
      <w:pPr>
        <w:widowControl/>
        <w:spacing w:line="570" w:lineRule="atLeast"/>
        <w:ind w:firstLine="630" w:firstLineChars="196"/>
        <w:rPr>
          <w:rFonts w:hint="eastAsia" w:ascii="黑体" w:hAnsi="黑体" w:eastAsia="黑体" w:cs="黑体"/>
          <w:b/>
          <w:bCs/>
          <w:kern w:val="0"/>
          <w:sz w:val="32"/>
          <w:szCs w:val="32"/>
        </w:rPr>
      </w:pPr>
      <w:r>
        <w:rPr>
          <w:rFonts w:hint="eastAsia" w:ascii="黑体" w:hAnsi="黑体" w:eastAsia="黑体" w:cs="黑体"/>
          <w:b/>
          <w:bCs/>
          <w:kern w:val="0"/>
          <w:sz w:val="32"/>
          <w:szCs w:val="32"/>
        </w:rPr>
        <w:t>第一部分 2024年部门预算说明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一、部门基本概况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二、部门预算单位构成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三、部门收支总体情况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四、一般公共预算拨款支出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五、政府性基金预算支出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六、其他重要事项的情况说明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七、名词解释</w:t>
      </w:r>
    </w:p>
    <w:p>
      <w:pPr>
        <w:ind w:firstLine="643" w:firstLineChars="200"/>
        <w:rPr>
          <w:rFonts w:hint="eastAsia" w:eastAsia="黑体" w:asciiTheme="minorEastAsia" w:hAnsiTheme="minorEastAsia" w:cstheme="minorEastAsia"/>
          <w:sz w:val="28"/>
          <w:szCs w:val="28"/>
          <w:lang w:eastAsia="zh-CN"/>
        </w:rPr>
      </w:pPr>
      <w:r>
        <w:rPr>
          <w:rFonts w:hint="eastAsia" w:ascii="黑体" w:hAnsi="黑体" w:eastAsia="黑体" w:cs="黑体"/>
          <w:b/>
          <w:bCs/>
          <w:kern w:val="0"/>
          <w:sz w:val="32"/>
          <w:szCs w:val="32"/>
        </w:rPr>
        <w:t>第二部分 2024年部门预算表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1、收支总表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2、收入总表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3、支出总表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4、支出预算分类汇总表（按政府预算经济分类）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5、支出预算分类汇总表（按部门预算经济分类）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6、财政拨款收支总表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7、一般公共预算支出表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8、一般公共预算基本支出表-人员经费（工资福利支出）（按政府预算经济分类）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9、一般公共预算基本支出表-人员经费（工资福利支出）（按部门预算经济分类）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10、一般公共预算基本支出表-人员经费（对个人和家庭的补助）（按政府预算经济分类）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11、一般公共预算基本支出表-人员经费（对个人和家庭的补助）（按部门预算经济分类）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12、一般公共预算基本支出表-公用经费（商品和服务支出）（按政府预算经济分类）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13、一般公共预算基本支出表-公用经费（商品和服务支出）（按部门预算经济分类）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14、一般公共预算“三公”经费支出表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15、政府性基金预算支出表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16、政府性基金预算支出分类汇总表（按政府预算经济分类）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17、政府性基金预算支出分类汇总表（按部门预算经济分类）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18、国有资本经营预算支出表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19、财政专户管理资金预算支出表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20、专项资金预算汇总表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21、项目支出绩效目标表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22、部门整体支出绩效目标表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23、一般公共预算基本支出表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注：以上部门预算公开报表中，空表表示本部门无相关收支情况。</w:t>
      </w:r>
    </w:p>
    <w:p>
      <w:pPr>
        <w:jc w:val="center"/>
        <w:rPr>
          <w:rFonts w:hint="eastAsia" w:asciiTheme="minorEastAsia" w:hAnsiTheme="minorEastAsia" w:eastAsiaTheme="minorEastAsia" w:cstheme="minorEastAsia"/>
          <w:b/>
          <w:bCs/>
          <w:sz w:val="28"/>
          <w:szCs w:val="28"/>
        </w:rPr>
      </w:pPr>
    </w:p>
    <w:p>
      <w:pPr>
        <w:jc w:val="center"/>
        <w:rPr>
          <w:rFonts w:hint="eastAsia" w:ascii="Times New Roman" w:hAnsi="Times New Roman" w:eastAsia="方正小标宋_GBK" w:cs="Times New Roman"/>
          <w:b/>
          <w:bCs/>
          <w:kern w:val="0"/>
          <w:sz w:val="36"/>
          <w:szCs w:val="36"/>
        </w:rPr>
      </w:pPr>
      <w:r>
        <w:rPr>
          <w:rFonts w:hint="eastAsia" w:ascii="Times New Roman" w:hAnsi="Times New Roman" w:eastAsia="方正小标宋_GBK" w:cs="Times New Roman"/>
          <w:b/>
          <w:bCs/>
          <w:kern w:val="0"/>
          <w:sz w:val="36"/>
          <w:szCs w:val="36"/>
        </w:rPr>
        <w:t>第一部分 部门预算公开说明</w:t>
      </w:r>
    </w:p>
    <w:p>
      <w:pPr>
        <w:widowControl/>
        <w:spacing w:line="570" w:lineRule="atLeast"/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</w:pPr>
    </w:p>
    <w:p>
      <w:pPr>
        <w:widowControl/>
        <w:spacing w:line="570" w:lineRule="atLeast"/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  <w:t>一、部门基本概况</w:t>
      </w:r>
    </w:p>
    <w:p>
      <w:pPr>
        <w:spacing w:line="570" w:lineRule="atLeast"/>
        <w:ind w:firstLine="643" w:firstLineChars="200"/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</w:rPr>
        <w:t>（一）职能职责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ind w:firstLine="632" w:firstLineChars="20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" w:eastAsia="仿宋_GB2312" w:cs="宋体"/>
          <w:spacing w:val="-2"/>
          <w:kern w:val="0"/>
          <w:sz w:val="32"/>
          <w:szCs w:val="32"/>
          <w:lang w:val="en-US" w:eastAsia="zh-CN"/>
        </w:rPr>
        <w:t>1、</w:t>
      </w:r>
      <w:r>
        <w:rPr>
          <w:rFonts w:hint="eastAsia" w:ascii="仿宋_GB2312" w:hAnsi="仿宋" w:eastAsia="仿宋_GB2312" w:cs="宋体"/>
          <w:spacing w:val="-2"/>
          <w:kern w:val="0"/>
          <w:sz w:val="32"/>
          <w:szCs w:val="32"/>
        </w:rPr>
        <w:t>贯彻执行中央和省、市制定的有关司法行政工作的方针、政策、法律、法规和规章，编制全区司法行政工作中长期规划、年度计划并组织实施。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2、</w:t>
      </w:r>
      <w:r>
        <w:rPr>
          <w:rFonts w:hint="eastAsia" w:ascii="仿宋_GB2312" w:hAnsi="仿宋_GB2312" w:eastAsia="仿宋_GB2312" w:cs="仿宋_GB2312"/>
          <w:sz w:val="32"/>
          <w:szCs w:val="32"/>
        </w:rPr>
        <w:t>承担全面依法治区重大问题的政策研究；协调有关方面提出全面依法治区中长期规划建议；负责有关重大决策部署督查工作。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60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3、</w:t>
      </w:r>
      <w:r>
        <w:rPr>
          <w:rFonts w:hint="eastAsia" w:ascii="仿宋_GB2312" w:hAnsi="仿宋_GB2312" w:eastAsia="仿宋_GB2312" w:cs="仿宋_GB2312"/>
          <w:sz w:val="32"/>
          <w:szCs w:val="32"/>
        </w:rPr>
        <w:t>承担区政府法律顾问工作；对区政府重大行政决策进行合法性审查或论证说明；负责对政府合同订立工作进行监督和指导；负责政府重大合同订立之前的合法性审查；指导和监督全区行政复议、行政赔偿和行政应诉工作；承办区政府为行政复议机关和政府为被申请人的行政复议案件，承担区政府行政复议办公室日常工作；代理区政府的行政应诉事项，办理区政府为赔偿义务机关的行政赔偿案件；负责区政府法制信息工作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60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4、</w:t>
      </w:r>
      <w:r>
        <w:rPr>
          <w:rFonts w:hint="eastAsia" w:ascii="仿宋_GB2312" w:hAnsi="仿宋_GB2312" w:eastAsia="仿宋_GB2312" w:cs="仿宋_GB2312"/>
          <w:sz w:val="32"/>
          <w:szCs w:val="32"/>
        </w:rPr>
        <w:t>指导全区规范性文件管理有关工作；承担区政府规范性文件送审稿的合法性审查工作；承办区政府及其部门规范性文件的统一登记、统一编号、统一公布工作；报送备案区政府规范性文件；组织开展区政府规范性文件清理工作；受理有关规范性文件审查申请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60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5、</w:t>
      </w:r>
      <w:r>
        <w:rPr>
          <w:rFonts w:hint="eastAsia" w:ascii="仿宋_GB2312" w:hAnsi="仿宋_GB2312" w:eastAsia="仿宋_GB2312" w:cs="仿宋_GB2312"/>
          <w:sz w:val="32"/>
          <w:szCs w:val="32"/>
        </w:rPr>
        <w:t>承担统筹推进法治政府建设工作；指导、监督区政府各部门依法行政工作；负责综合协调行政执法，推进行政执法体制改革有关工作，严格规范公正文明执法；承办全区行政执法人员执法资格考试，负责行政执法证件监管工作；负责对全区行政机关依法行政知识培训进行业务指导；负责全区政府法制工作人员的业务培训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60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6、</w:t>
      </w:r>
      <w:r>
        <w:rPr>
          <w:rFonts w:hint="eastAsia" w:ascii="仿宋_GB2312" w:hAnsi="仿宋_GB2312" w:eastAsia="仿宋_GB2312" w:cs="仿宋_GB2312"/>
          <w:sz w:val="32"/>
          <w:szCs w:val="32"/>
        </w:rPr>
        <w:t>承担统筹规划全区法治社会建设工作；负责拟订法治宣传教育规划，组织实施普法宣传工作；推动人民参与和促进法治建设；指导依法治理和法治创建工作；参与社会治安综合治理工作；指导人民调解工作和人民陪审员、人民监督员选任和管理工作；推进基层司法所建设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7、</w:t>
      </w:r>
      <w:r>
        <w:rPr>
          <w:rFonts w:hint="eastAsia" w:ascii="仿宋_GB2312" w:hAnsi="仿宋_GB2312" w:eastAsia="仿宋_GB2312" w:cs="仿宋_GB2312"/>
          <w:sz w:val="32"/>
          <w:szCs w:val="32"/>
        </w:rPr>
        <w:t>指导、管理社区矫正工作；指导刑满释放人员安置帮教工作；</w:t>
      </w:r>
      <w:r>
        <w:rPr>
          <w:rFonts w:hint="eastAsia" w:ascii="仿宋_GB2312" w:hAnsi="仿宋" w:eastAsia="仿宋_GB2312" w:cs="宋体"/>
          <w:kern w:val="0"/>
          <w:sz w:val="32"/>
          <w:szCs w:val="32"/>
        </w:rPr>
        <w:t>指导、支持和协助全区社区戒毒社区康复工作。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60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8、</w:t>
      </w:r>
      <w:r>
        <w:rPr>
          <w:rFonts w:hint="eastAsia" w:ascii="仿宋_GB2312" w:hAnsi="仿宋_GB2312" w:eastAsia="仿宋_GB2312" w:cs="仿宋_GB2312"/>
          <w:sz w:val="32"/>
          <w:szCs w:val="32"/>
        </w:rPr>
        <w:t>拟订公共法律服务体系建设规划并指导实施，统筹和布局城乡、区域公共法律服务资源；指导、监督律师、法律援助、司法鉴定、仲裁和基层法律服务管理工作。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9、</w:t>
      </w:r>
      <w:r>
        <w:rPr>
          <w:rFonts w:hint="eastAsia" w:ascii="仿宋_GB2312" w:hAnsi="仿宋_GB2312" w:eastAsia="仿宋_GB2312" w:cs="仿宋_GB2312"/>
          <w:sz w:val="32"/>
          <w:szCs w:val="32"/>
        </w:rPr>
        <w:t>负责全区司法行政系统</w:t>
      </w:r>
      <w:r>
        <w:rPr>
          <w:rFonts w:hint="eastAsia" w:ascii="仿宋_GB2312" w:hAnsi="仿宋" w:eastAsia="仿宋_GB2312" w:cs="宋体"/>
          <w:kern w:val="0"/>
          <w:sz w:val="32"/>
          <w:szCs w:val="32"/>
        </w:rPr>
        <w:t>财务计划以及</w:t>
      </w:r>
      <w:r>
        <w:rPr>
          <w:rFonts w:hint="eastAsia" w:ascii="仿宋_GB2312" w:hAnsi="仿宋_GB2312" w:eastAsia="仿宋_GB2312" w:cs="仿宋_GB2312"/>
          <w:sz w:val="32"/>
          <w:szCs w:val="32"/>
        </w:rPr>
        <w:t>服装、警车管理工作；指导和监督本系统财务、装备、设施、场所等保障工作；</w:t>
      </w:r>
      <w:r>
        <w:rPr>
          <w:rFonts w:hint="eastAsia" w:ascii="仿宋_GB2312" w:hAnsi="仿宋" w:eastAsia="仿宋_GB2312" w:cs="宋体"/>
          <w:kern w:val="0"/>
          <w:sz w:val="32"/>
          <w:szCs w:val="32"/>
        </w:rPr>
        <w:t>负责全区司法行政系统信息化建设工作。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60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10、</w:t>
      </w:r>
      <w:r>
        <w:rPr>
          <w:rFonts w:hint="eastAsia" w:ascii="仿宋_GB2312" w:hAnsi="仿宋_GB2312" w:eastAsia="仿宋_GB2312" w:cs="仿宋_GB2312"/>
          <w:sz w:val="32"/>
          <w:szCs w:val="32"/>
        </w:rPr>
        <w:t>规划、协调、指导法治人才队伍建设相关工作；指导、监督本系统党的建设和队伍建设。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pacing w:line="600" w:lineRule="exact"/>
        <w:ind w:firstLine="640" w:firstLineChars="200"/>
        <w:jc w:val="left"/>
        <w:textAlignment w:val="auto"/>
        <w:rPr>
          <w:rFonts w:eastAsia="楷体_GB2312"/>
          <w:b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11、</w:t>
      </w:r>
      <w:r>
        <w:rPr>
          <w:rFonts w:hint="eastAsia" w:ascii="仿宋_GB2312" w:hAnsi="仿宋_GB2312" w:eastAsia="仿宋_GB2312" w:cs="仿宋_GB2312"/>
          <w:sz w:val="32"/>
          <w:szCs w:val="32"/>
        </w:rPr>
        <w:t>完成区委、区政府交办的其他任务。</w:t>
      </w:r>
    </w:p>
    <w:p>
      <w:pPr>
        <w:spacing w:line="570" w:lineRule="atLeast"/>
        <w:ind w:firstLine="643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</w:rPr>
        <w:t>（二）机构设置</w:t>
      </w:r>
    </w:p>
    <w:p>
      <w:pPr>
        <w:widowControl/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君山区司法局设5个内设机构：办公室、文件管理与监督股、行政复议和应诉股、社区矫正股、普法和促进法治股和1个所属事业单位：君山区公共法律服务中心，下辖五个司法所。</w:t>
      </w:r>
    </w:p>
    <w:p>
      <w:pPr>
        <w:widowControl/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我局共有编制26个，其中行政编制19个，事业编制7个。现有在编在岗人员24人，其中行政编制人员18人，事业人员6人。另有临聘人员4人， 离退休2人。</w:t>
      </w:r>
    </w:p>
    <w:p>
      <w:pPr>
        <w:widowControl/>
        <w:spacing w:line="570" w:lineRule="atLeast"/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  <w:t>二、部门预算单位构成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0" w:firstLineChars="200"/>
        <w:jc w:val="both"/>
        <w:textAlignment w:val="center"/>
        <w:rPr>
          <w:rFonts w:hint="eastAsia" w:asciiTheme="minorEastAsia" w:hAnsiTheme="minorEastAsia" w:eastAsiaTheme="minorEastAsia" w:cstheme="minorEastAsia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</w:pPr>
      <w:bookmarkStart w:id="0" w:name="DEPT_COMPOSE"/>
      <w:r>
        <w:rPr>
          <w:rFonts w:hint="eastAsia" w:eastAsia="仿宋_GB2312"/>
          <w:sz w:val="32"/>
          <w:szCs w:val="32"/>
          <w:lang w:eastAsia="zh-CN"/>
        </w:rPr>
        <w:t>岳阳市君山区司法局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部门只有本级，没有其他二级预算单位，因此，纳入2024年部门预算编制范围的只有</w:t>
      </w:r>
      <w:r>
        <w:rPr>
          <w:rFonts w:hint="eastAsia" w:eastAsia="仿宋_GB2312"/>
          <w:sz w:val="32"/>
          <w:szCs w:val="32"/>
          <w:lang w:eastAsia="zh-CN"/>
        </w:rPr>
        <w:t>岳阳市君山区司法局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本级。</w:t>
      </w:r>
      <w:bookmarkEnd w:id="0"/>
    </w:p>
    <w:p>
      <w:pPr>
        <w:widowControl/>
        <w:spacing w:line="570" w:lineRule="atLeast"/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  <w:lang w:val="en-US" w:eastAsia="zh-CN"/>
        </w:rPr>
        <w:t>三、</w:t>
      </w: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  <w:t>部门收支总体情况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0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本部门2024年没有政府性基金预算拨款、国有资本经营预算收入和纳入专户管理的非税收入拨款收入，也没有使用政府性基金预算拨款、国有资本经营预算收入和纳入专户管理的非税收入拨款安排的支出，所以公开的附件15、16、17、18、19表均为空。</w:t>
      </w:r>
    </w:p>
    <w:p>
      <w:pPr>
        <w:pStyle w:val="5"/>
        <w:keepNext w:val="0"/>
        <w:keepLines w:val="0"/>
        <w:widowControl/>
        <w:numPr>
          <w:ilvl w:val="0"/>
          <w:numId w:val="1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b/>
          <w:kern w:val="2"/>
          <w:sz w:val="32"/>
          <w:szCs w:val="32"/>
          <w:lang w:val="en-US" w:eastAsia="zh-CN" w:bidi="ar-SA"/>
        </w:rPr>
        <w:t>收入预算：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包括一般公共预算、政府性基金、国有资本经营预算等财政拨款收入，以及经营收入、事业收入等单位资金。2024年本部门收入预563.16万元，其中，一般公共预算拨款563.16万元，政府性基金预算资金0.00万元(所以公开的附件15-17表为空)，国有资本经营预算资金0.00万元(所以公开的附件18表为空)，财政专户管理资金0.00万元(所以公开的附件19表为空)，上级补助收入资金0.00万元，事业单位经营收入资金0.00万元，上年结转结余0.00万元。收入较上年增加88.59万元，上升18.67%。主要原因是增加了6名在职人员。</w:t>
      </w:r>
    </w:p>
    <w:p>
      <w:pPr>
        <w:pStyle w:val="5"/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Chars="200" w:right="0" w:rightChars="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drawing>
          <wp:inline distT="0" distB="0" distL="114300" distR="114300">
            <wp:extent cx="4826000" cy="2743200"/>
            <wp:effectExtent l="4445" t="4445" r="8255" b="52705"/>
            <wp:docPr id="8" name="图表 7" descr="7b0a202020202263686172745265734964223a20223230343736303933220a7d0a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"/>
              </a:graphicData>
            </a:graphic>
          </wp:inline>
        </w:drawing>
      </w:r>
    </w:p>
    <w:p>
      <w:pPr>
        <w:pStyle w:val="5"/>
        <w:keepNext w:val="0"/>
        <w:keepLines w:val="0"/>
        <w:widowControl/>
        <w:numPr>
          <w:ilvl w:val="0"/>
          <w:numId w:val="1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b/>
          <w:kern w:val="2"/>
          <w:sz w:val="32"/>
          <w:szCs w:val="32"/>
          <w:lang w:val="en-US" w:eastAsia="zh-CN" w:bidi="ar-SA"/>
        </w:rPr>
        <w:t>支出预算：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2024年本部门支出预算563.16万元，其中：公共安全支出563.16万元。支出较上年增加88.59万元，上升18.67%。主要原因是增加了6名在职人员。</w:t>
      </w:r>
    </w:p>
    <w:p>
      <w:pPr>
        <w:pStyle w:val="5"/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right="0" w:rightChars="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/>
          <w:lang w:val="en-US" w:eastAsia="zh-CN"/>
        </w:rPr>
        <w:t xml:space="preserve">      </w:t>
      </w:r>
      <w:r>
        <w:drawing>
          <wp:inline distT="0" distB="0" distL="114300" distR="114300">
            <wp:extent cx="4596765" cy="3001010"/>
            <wp:effectExtent l="4445" t="4445" r="8890" b="23495"/>
            <wp:docPr id="1" name="图表 1" descr="7b0a202020202263686172745265734964223a20223230343735353931220a7d0a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>
      <w:pPr>
        <w:widowControl/>
        <w:spacing w:line="570" w:lineRule="atLeast"/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  <w:t>四、一般公共预算拨款支出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0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2024年本部门一般公共预算拨款支出563.16万元，其中：公共安全支出563.16万元，占100%。具体安排情况如下：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b/>
          <w:sz w:val="32"/>
          <w:szCs w:val="32"/>
        </w:rPr>
        <w:t>（一）基本支出：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2024年本部门基本支出预算数413.66万元，主要是为保障部门正常运转、完成日常工作任务而发生的各项支出，包括用于基本工资、津贴补贴等人员经费以及办公费、印刷费、水电费、办公设备购置等公用经费。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（二）项目支出：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2024年本部门项目支出预算149.5万元，主要是本单位为完成特定工作任务或事业发展目标而发生的支出，包括有关事业发展专项、专项业务费、基本建设支出等，其中：公共安全支出149.5万元，</w:t>
      </w:r>
      <w:r>
        <w:rPr>
          <w:rFonts w:hint="eastAsia" w:eastAsia="仿宋_GB2312"/>
          <w:sz w:val="32"/>
          <w:szCs w:val="32"/>
        </w:rPr>
        <w:t>主要用于社区矫正、社区戒毒、法律援助、法治宣传、安置帮教、依法治区、人民调解以奖代补、政府购服务、执法监督、行政复议和应诉、政府法律顾问等方面；</w:t>
      </w:r>
    </w:p>
    <w:p>
      <w:pPr>
        <w:widowControl/>
        <w:spacing w:line="570" w:lineRule="atLeast"/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  <w:t>五、政府性基金预算支出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0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2024年度本部门无政府性基金安排的支出，所以公开的附件15-17表（政府性基金预算）为空。</w:t>
      </w:r>
    </w:p>
    <w:p>
      <w:pPr>
        <w:widowControl/>
        <w:spacing w:line="570" w:lineRule="atLeast"/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  <w:t>六、其他重要事项的情况说明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（一）机关运行经费：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</w:t>
      </w:r>
      <w:r>
        <w:rPr>
          <w:rFonts w:hint="eastAsia" w:eastAsia="仿宋_GB2312"/>
          <w:sz w:val="32"/>
          <w:szCs w:val="32"/>
          <w:lang w:eastAsia="zh-CN"/>
        </w:rPr>
        <w:t>岳阳市君山区司法局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运行经费68.2万元，比上年预算上升18.2%。主要原因是2024年新增了6名工作人员。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pacing w:line="600" w:lineRule="exact"/>
        <w:ind w:firstLine="643" w:firstLineChars="200"/>
        <w:textAlignment w:val="auto"/>
        <w:rPr>
          <w:rFonts w:eastAsia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（二）“三公”经费预算：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2024年本部门“三公”经费预算数为6万元，其中，公务接待费3万元，公务用车购置及运行费3万元（其中，公务用车购置费0万元，公务用车运行费3万元），因公出国（境）费0万元。2024</w:t>
      </w:r>
      <w:bookmarkStart w:id="1" w:name="END_IS_ZERO_06_1"/>
      <w:bookmarkEnd w:id="1"/>
      <w:bookmarkStart w:id="2" w:name="DIS_MARK_IS_ZERO_06_2"/>
      <w:bookmarkEnd w:id="2"/>
      <w:bookmarkStart w:id="3" w:name="END_IS_ZERO_06_2"/>
      <w:bookmarkEnd w:id="3"/>
      <w:bookmarkStart w:id="4" w:name="START_IS_ZERO_06_2"/>
      <w:bookmarkEnd w:id="4"/>
      <w:r>
        <w:rPr>
          <w:rFonts w:eastAsia="仿宋_GB2312"/>
          <w:sz w:val="32"/>
          <w:szCs w:val="32"/>
        </w:rPr>
        <w:t>年“三公”经费预算较</w:t>
      </w:r>
      <w:r>
        <w:rPr>
          <w:rFonts w:hint="eastAsia" w:eastAsia="仿宋_GB2312"/>
          <w:sz w:val="32"/>
          <w:szCs w:val="32"/>
        </w:rPr>
        <w:t>202</w:t>
      </w:r>
      <w:r>
        <w:rPr>
          <w:rFonts w:hint="eastAsia" w:eastAsia="仿宋_GB2312"/>
          <w:sz w:val="32"/>
          <w:szCs w:val="32"/>
          <w:lang w:val="en-US" w:eastAsia="zh-CN"/>
        </w:rPr>
        <w:t>3</w:t>
      </w:r>
      <w:r>
        <w:rPr>
          <w:rFonts w:eastAsia="仿宋_GB2312"/>
          <w:sz w:val="32"/>
          <w:szCs w:val="32"/>
        </w:rPr>
        <w:t>年减少</w:t>
      </w:r>
      <w:r>
        <w:rPr>
          <w:rFonts w:hint="eastAsia" w:eastAsia="仿宋_GB2312"/>
          <w:sz w:val="32"/>
          <w:szCs w:val="32"/>
          <w:lang w:val="en-US" w:eastAsia="zh-CN"/>
        </w:rPr>
        <w:t>2</w:t>
      </w:r>
      <w:r>
        <w:rPr>
          <w:rFonts w:eastAsia="仿宋_GB2312"/>
          <w:sz w:val="32"/>
          <w:szCs w:val="32"/>
        </w:rPr>
        <w:t>万元，主要是</w:t>
      </w:r>
      <w:r>
        <w:rPr>
          <w:rFonts w:hint="eastAsia" w:eastAsia="仿宋_GB2312"/>
          <w:sz w:val="32"/>
          <w:szCs w:val="32"/>
        </w:rPr>
        <w:t>按照党中央、国务院关于过</w:t>
      </w:r>
      <w:r>
        <w:rPr>
          <w:rFonts w:eastAsia="仿宋_GB2312"/>
          <w:sz w:val="32"/>
          <w:szCs w:val="32"/>
        </w:rPr>
        <w:t>“</w:t>
      </w:r>
      <w:r>
        <w:rPr>
          <w:rFonts w:hint="eastAsia" w:eastAsia="仿宋_GB2312"/>
          <w:sz w:val="32"/>
          <w:szCs w:val="32"/>
        </w:rPr>
        <w:t>紧日子</w:t>
      </w:r>
      <w:r>
        <w:rPr>
          <w:rFonts w:eastAsia="仿宋_GB2312"/>
          <w:sz w:val="32"/>
          <w:szCs w:val="32"/>
        </w:rPr>
        <w:t>”</w:t>
      </w:r>
      <w:r>
        <w:rPr>
          <w:rFonts w:hint="eastAsia" w:eastAsia="仿宋_GB2312"/>
          <w:sz w:val="32"/>
          <w:szCs w:val="32"/>
        </w:rPr>
        <w:t>和坚持厉行节约反对浪费的要求，进一步压减公务接待费支出</w:t>
      </w:r>
      <w:r>
        <w:rPr>
          <w:rFonts w:eastAsia="仿宋_GB2312"/>
          <w:sz w:val="32"/>
          <w:szCs w:val="32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3" w:firstLineChars="200"/>
        <w:textAlignment w:val="auto"/>
        <w:rPr>
          <w:rFonts w:hint="eastAsia" w:eastAsia="仿宋_GB2312"/>
          <w:b/>
          <w:sz w:val="32"/>
          <w:szCs w:val="32"/>
          <w:u w:val="none"/>
          <w:lang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（三）一般性支出情况：</w:t>
      </w:r>
      <w:r>
        <w:rPr>
          <w:rFonts w:hint="eastAsia" w:eastAsia="仿宋_GB2312"/>
          <w:sz w:val="32"/>
          <w:szCs w:val="32"/>
          <w:lang w:eastAsia="zh-CN"/>
        </w:rPr>
        <w:t>202</w:t>
      </w:r>
      <w:r>
        <w:rPr>
          <w:rFonts w:hint="eastAsia" w:eastAsia="仿宋_GB2312"/>
          <w:sz w:val="32"/>
          <w:szCs w:val="32"/>
          <w:lang w:val="en-US" w:eastAsia="zh-CN"/>
        </w:rPr>
        <w:t>4</w:t>
      </w:r>
      <w:r>
        <w:rPr>
          <w:rFonts w:eastAsia="仿宋_GB2312"/>
          <w:sz w:val="32"/>
          <w:szCs w:val="32"/>
        </w:rPr>
        <w:t>年本部门会议费预算</w:t>
      </w:r>
      <w:r>
        <w:rPr>
          <w:rFonts w:hint="eastAsia" w:eastAsia="仿宋_GB2312"/>
          <w:sz w:val="32"/>
          <w:szCs w:val="32"/>
          <w:lang w:val="en-US" w:eastAsia="zh-CN"/>
        </w:rPr>
        <w:t>0</w:t>
      </w:r>
      <w:r>
        <w:rPr>
          <w:rFonts w:eastAsia="仿宋_GB2312"/>
          <w:sz w:val="32"/>
          <w:szCs w:val="32"/>
        </w:rPr>
        <w:t>万元，拟召开</w:t>
      </w:r>
      <w:r>
        <w:rPr>
          <w:rFonts w:hint="eastAsia" w:eastAsia="仿宋_GB2312"/>
          <w:sz w:val="32"/>
          <w:szCs w:val="32"/>
          <w:lang w:val="en-US" w:eastAsia="zh-CN"/>
        </w:rPr>
        <w:t>0次</w:t>
      </w:r>
      <w:r>
        <w:rPr>
          <w:rFonts w:eastAsia="仿宋_GB2312"/>
          <w:sz w:val="32"/>
          <w:szCs w:val="32"/>
        </w:rPr>
        <w:t>会议，人数</w:t>
      </w:r>
      <w:r>
        <w:rPr>
          <w:rFonts w:hint="eastAsia" w:eastAsia="仿宋_GB2312"/>
          <w:sz w:val="32"/>
          <w:szCs w:val="32"/>
          <w:lang w:val="en-US" w:eastAsia="zh-CN"/>
        </w:rPr>
        <w:t>0</w:t>
      </w:r>
      <w:r>
        <w:rPr>
          <w:rFonts w:eastAsia="仿宋_GB2312"/>
          <w:sz w:val="32"/>
          <w:szCs w:val="32"/>
        </w:rPr>
        <w:t>人；培训费预算</w:t>
      </w:r>
      <w:r>
        <w:rPr>
          <w:rFonts w:hint="eastAsia" w:eastAsia="仿宋_GB2312"/>
          <w:sz w:val="32"/>
          <w:szCs w:val="32"/>
          <w:lang w:val="en-US" w:eastAsia="zh-CN"/>
        </w:rPr>
        <w:t>3</w:t>
      </w:r>
      <w:r>
        <w:rPr>
          <w:rFonts w:eastAsia="仿宋_GB2312"/>
          <w:sz w:val="32"/>
          <w:szCs w:val="32"/>
        </w:rPr>
        <w:t>万元，拟开展</w:t>
      </w:r>
      <w:r>
        <w:rPr>
          <w:rFonts w:hint="eastAsia" w:eastAsia="仿宋_GB2312"/>
          <w:sz w:val="32"/>
          <w:szCs w:val="32"/>
          <w:lang w:val="en-US" w:eastAsia="zh-CN"/>
        </w:rPr>
        <w:t>30次</w:t>
      </w:r>
      <w:r>
        <w:rPr>
          <w:rFonts w:eastAsia="仿宋_GB2312"/>
          <w:sz w:val="32"/>
          <w:szCs w:val="32"/>
        </w:rPr>
        <w:t>培训，人数</w:t>
      </w:r>
      <w:r>
        <w:rPr>
          <w:rFonts w:hint="eastAsia" w:eastAsia="仿宋_GB2312"/>
          <w:sz w:val="32"/>
          <w:szCs w:val="32"/>
          <w:lang w:val="en-US" w:eastAsia="zh-CN"/>
        </w:rPr>
        <w:t>600</w:t>
      </w:r>
      <w:r>
        <w:rPr>
          <w:rFonts w:eastAsia="仿宋_GB2312"/>
          <w:sz w:val="32"/>
          <w:szCs w:val="32"/>
        </w:rPr>
        <w:t>人</w:t>
      </w:r>
      <w:r>
        <w:rPr>
          <w:rFonts w:hint="eastAsia" w:eastAsia="仿宋_GB2312"/>
          <w:sz w:val="32"/>
          <w:szCs w:val="32"/>
          <w:lang w:eastAsia="zh-CN"/>
        </w:rPr>
        <w:t>，</w:t>
      </w:r>
      <w:r>
        <w:rPr>
          <w:rFonts w:hint="eastAsia" w:eastAsia="仿宋_GB2312"/>
          <w:sz w:val="32"/>
          <w:szCs w:val="32"/>
          <w:lang w:val="en-US" w:eastAsia="zh-CN"/>
        </w:rPr>
        <w:t>内容为社区矫正相关培训</w:t>
      </w:r>
      <w:r>
        <w:rPr>
          <w:rFonts w:eastAsia="仿宋_GB2312"/>
          <w:sz w:val="32"/>
          <w:szCs w:val="32"/>
        </w:rPr>
        <w:t>；</w:t>
      </w:r>
      <w:r>
        <w:rPr>
          <w:rFonts w:hint="eastAsia" w:eastAsia="仿宋_GB2312"/>
          <w:sz w:val="32"/>
          <w:szCs w:val="32"/>
          <w:lang w:eastAsia="zh-CN"/>
        </w:rPr>
        <w:t>未计划举办</w:t>
      </w:r>
      <w:r>
        <w:rPr>
          <w:rFonts w:hint="eastAsia" w:eastAsia="仿宋_GB2312"/>
          <w:sz w:val="32"/>
          <w:szCs w:val="32"/>
        </w:rPr>
        <w:t>节庆、晚会、</w:t>
      </w:r>
      <w:r>
        <w:rPr>
          <w:rFonts w:eastAsia="仿宋_GB2312"/>
          <w:sz w:val="32"/>
          <w:szCs w:val="32"/>
        </w:rPr>
        <w:t>论坛、赛事</w:t>
      </w:r>
      <w:r>
        <w:rPr>
          <w:rFonts w:hint="eastAsia" w:eastAsia="仿宋_GB2312"/>
          <w:sz w:val="32"/>
          <w:szCs w:val="32"/>
        </w:rPr>
        <w:t>活动</w:t>
      </w:r>
      <w:r>
        <w:rPr>
          <w:rFonts w:eastAsia="仿宋_GB2312"/>
          <w:sz w:val="32"/>
          <w:szCs w:val="32"/>
        </w:rPr>
        <w:t>，经费预算</w:t>
      </w:r>
      <w:r>
        <w:rPr>
          <w:rFonts w:hint="eastAsia" w:eastAsia="仿宋_GB2312"/>
          <w:sz w:val="32"/>
          <w:szCs w:val="32"/>
          <w:lang w:val="en-US" w:eastAsia="zh-CN"/>
        </w:rPr>
        <w:t>0</w:t>
      </w:r>
      <w:r>
        <w:rPr>
          <w:rFonts w:eastAsia="仿宋_GB2312"/>
          <w:sz w:val="32"/>
          <w:szCs w:val="32"/>
        </w:rPr>
        <w:t>万元</w:t>
      </w:r>
      <w:r>
        <w:rPr>
          <w:rFonts w:hint="eastAsia" w:eastAsia="仿宋_GB2312"/>
          <w:sz w:val="32"/>
          <w:szCs w:val="32"/>
          <w:lang w:eastAsia="zh-CN"/>
        </w:rPr>
        <w:t>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（四）政府采购情况：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2024年本部门政府采购预算总额17万元，其中，货物类采购预算5万元；工程类采购预算0万元；服务类采购预算12万元。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pacing w:line="600" w:lineRule="exact"/>
        <w:ind w:firstLine="660"/>
        <w:jc w:val="left"/>
        <w:textAlignment w:val="auto"/>
        <w:rPr>
          <w:rFonts w:eastAsia="仿宋_GB2312"/>
          <w:bCs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（五）国有资产占用使用及新增资产配置情况：</w:t>
      </w:r>
      <w:r>
        <w:rPr>
          <w:rFonts w:eastAsia="仿宋_GB2312"/>
          <w:sz w:val="32"/>
          <w:szCs w:val="32"/>
        </w:rPr>
        <w:t>截至</w:t>
      </w:r>
      <w:r>
        <w:rPr>
          <w:rFonts w:hint="eastAsia" w:eastAsia="仿宋_GB2312"/>
          <w:sz w:val="32"/>
          <w:szCs w:val="32"/>
        </w:rPr>
        <w:t>202</w:t>
      </w:r>
      <w:r>
        <w:rPr>
          <w:rFonts w:hint="eastAsia" w:eastAsia="仿宋_GB2312"/>
          <w:sz w:val="32"/>
          <w:szCs w:val="32"/>
          <w:lang w:val="en-US" w:eastAsia="zh-CN"/>
        </w:rPr>
        <w:t>3</w:t>
      </w:r>
      <w:r>
        <w:rPr>
          <w:rFonts w:eastAsia="仿宋_GB2312"/>
          <w:sz w:val="32"/>
          <w:szCs w:val="32"/>
        </w:rPr>
        <w:t>年12月底，本部门</w:t>
      </w:r>
      <w:r>
        <w:rPr>
          <w:rFonts w:eastAsia="仿宋_GB2312"/>
          <w:bCs/>
          <w:kern w:val="0"/>
          <w:sz w:val="32"/>
          <w:szCs w:val="32"/>
        </w:rPr>
        <w:t>共有公务用车</w:t>
      </w:r>
      <w:r>
        <w:rPr>
          <w:rFonts w:hint="eastAsia" w:eastAsia="仿宋_GB2312"/>
          <w:bCs/>
          <w:kern w:val="0"/>
          <w:sz w:val="32"/>
          <w:szCs w:val="32"/>
        </w:rPr>
        <w:t>1</w:t>
      </w:r>
      <w:r>
        <w:rPr>
          <w:rFonts w:eastAsia="仿宋_GB2312"/>
          <w:bCs/>
          <w:kern w:val="0"/>
          <w:sz w:val="32"/>
          <w:szCs w:val="32"/>
        </w:rPr>
        <w:t>辆，其中，机要通信用车</w:t>
      </w:r>
      <w:r>
        <w:rPr>
          <w:rFonts w:hint="eastAsia" w:eastAsia="仿宋_GB2312"/>
          <w:bCs/>
          <w:kern w:val="0"/>
          <w:sz w:val="32"/>
          <w:szCs w:val="32"/>
        </w:rPr>
        <w:t>0</w:t>
      </w:r>
      <w:r>
        <w:rPr>
          <w:rFonts w:eastAsia="仿宋_GB2312"/>
          <w:bCs/>
          <w:kern w:val="0"/>
          <w:sz w:val="32"/>
          <w:szCs w:val="32"/>
        </w:rPr>
        <w:t xml:space="preserve">  辆，应急保障用车</w:t>
      </w:r>
      <w:r>
        <w:rPr>
          <w:rFonts w:hint="eastAsia" w:eastAsia="仿宋_GB2312"/>
          <w:bCs/>
          <w:kern w:val="0"/>
          <w:sz w:val="32"/>
          <w:szCs w:val="32"/>
        </w:rPr>
        <w:t>0</w:t>
      </w:r>
      <w:r>
        <w:rPr>
          <w:rFonts w:eastAsia="仿宋_GB2312"/>
          <w:bCs/>
          <w:kern w:val="0"/>
          <w:sz w:val="32"/>
          <w:szCs w:val="32"/>
        </w:rPr>
        <w:t>辆，执法执勤用车</w:t>
      </w:r>
      <w:r>
        <w:rPr>
          <w:rFonts w:hint="eastAsia" w:eastAsia="仿宋_GB2312"/>
          <w:bCs/>
          <w:kern w:val="0"/>
          <w:sz w:val="32"/>
          <w:szCs w:val="32"/>
        </w:rPr>
        <w:t>1</w:t>
      </w:r>
      <w:r>
        <w:rPr>
          <w:rFonts w:eastAsia="仿宋_GB2312"/>
          <w:bCs/>
          <w:kern w:val="0"/>
          <w:sz w:val="32"/>
          <w:szCs w:val="32"/>
        </w:rPr>
        <w:t>辆，特种专业技术用车</w:t>
      </w:r>
      <w:r>
        <w:rPr>
          <w:rFonts w:hint="eastAsia" w:eastAsia="仿宋_GB2312"/>
          <w:bCs/>
          <w:kern w:val="0"/>
          <w:sz w:val="32"/>
          <w:szCs w:val="32"/>
        </w:rPr>
        <w:t>0</w:t>
      </w:r>
      <w:r>
        <w:rPr>
          <w:rFonts w:eastAsia="仿宋_GB2312"/>
          <w:bCs/>
          <w:kern w:val="0"/>
          <w:sz w:val="32"/>
          <w:szCs w:val="32"/>
        </w:rPr>
        <w:t>辆，其他按照规定配备的公务用车</w:t>
      </w:r>
      <w:r>
        <w:rPr>
          <w:rFonts w:hint="eastAsia" w:eastAsia="仿宋_GB2312"/>
          <w:bCs/>
          <w:kern w:val="0"/>
          <w:sz w:val="32"/>
          <w:szCs w:val="32"/>
        </w:rPr>
        <w:t>0</w:t>
      </w:r>
      <w:r>
        <w:rPr>
          <w:rFonts w:eastAsia="仿宋_GB2312"/>
          <w:bCs/>
          <w:kern w:val="0"/>
          <w:sz w:val="32"/>
          <w:szCs w:val="32"/>
        </w:rPr>
        <w:t>辆；单位价值50万元以上通用设备</w:t>
      </w:r>
      <w:r>
        <w:rPr>
          <w:rFonts w:hint="eastAsia" w:eastAsia="仿宋_GB2312"/>
          <w:bCs/>
          <w:kern w:val="0"/>
          <w:sz w:val="32"/>
          <w:szCs w:val="32"/>
        </w:rPr>
        <w:t>0</w:t>
      </w:r>
      <w:r>
        <w:rPr>
          <w:rFonts w:eastAsia="仿宋_GB2312"/>
          <w:bCs/>
          <w:kern w:val="0"/>
          <w:sz w:val="32"/>
          <w:szCs w:val="32"/>
        </w:rPr>
        <w:t>台，单位价值100万元以上专用设备</w:t>
      </w:r>
      <w:r>
        <w:rPr>
          <w:rFonts w:hint="eastAsia" w:eastAsia="仿宋_GB2312"/>
          <w:bCs/>
          <w:kern w:val="0"/>
          <w:sz w:val="32"/>
          <w:szCs w:val="32"/>
        </w:rPr>
        <w:t>0</w:t>
      </w:r>
      <w:r>
        <w:rPr>
          <w:rFonts w:eastAsia="仿宋_GB2312"/>
          <w:bCs/>
          <w:kern w:val="0"/>
          <w:sz w:val="32"/>
          <w:szCs w:val="32"/>
        </w:rPr>
        <w:t>台。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pacing w:line="600" w:lineRule="exact"/>
        <w:ind w:firstLine="660"/>
        <w:jc w:val="left"/>
        <w:textAlignment w:val="auto"/>
        <w:rPr>
          <w:rFonts w:eastAsia="仿宋_GB2312"/>
          <w:bCs/>
          <w:kern w:val="0"/>
          <w:sz w:val="32"/>
          <w:szCs w:val="32"/>
        </w:rPr>
      </w:pPr>
      <w:r>
        <w:rPr>
          <w:rFonts w:hint="eastAsia" w:eastAsia="仿宋_GB2312"/>
          <w:bCs/>
          <w:kern w:val="0"/>
          <w:sz w:val="32"/>
          <w:szCs w:val="32"/>
        </w:rPr>
        <w:t>202</w:t>
      </w:r>
      <w:r>
        <w:rPr>
          <w:rFonts w:hint="eastAsia" w:eastAsia="仿宋_GB2312"/>
          <w:bCs/>
          <w:kern w:val="0"/>
          <w:sz w:val="32"/>
          <w:szCs w:val="32"/>
          <w:lang w:val="en-US" w:eastAsia="zh-CN"/>
        </w:rPr>
        <w:t>4</w:t>
      </w:r>
      <w:r>
        <w:rPr>
          <w:rFonts w:eastAsia="仿宋_GB2312"/>
          <w:bCs/>
          <w:kern w:val="0"/>
          <w:sz w:val="32"/>
          <w:szCs w:val="32"/>
        </w:rPr>
        <w:t>年拟新增配置公务用车</w:t>
      </w:r>
      <w:r>
        <w:rPr>
          <w:rFonts w:hint="eastAsia" w:eastAsia="仿宋_GB2312"/>
          <w:bCs/>
          <w:kern w:val="0"/>
          <w:sz w:val="32"/>
          <w:szCs w:val="32"/>
        </w:rPr>
        <w:t>0</w:t>
      </w:r>
      <w:r>
        <w:rPr>
          <w:rFonts w:eastAsia="仿宋_GB2312"/>
          <w:bCs/>
          <w:kern w:val="0"/>
          <w:sz w:val="32"/>
          <w:szCs w:val="32"/>
        </w:rPr>
        <w:t>辆，其中，机要通信用车</w:t>
      </w:r>
      <w:r>
        <w:rPr>
          <w:rFonts w:hint="eastAsia" w:eastAsia="仿宋_GB2312"/>
          <w:bCs/>
          <w:kern w:val="0"/>
          <w:sz w:val="32"/>
          <w:szCs w:val="32"/>
        </w:rPr>
        <w:t>0</w:t>
      </w:r>
      <w:r>
        <w:rPr>
          <w:rFonts w:eastAsia="仿宋_GB2312"/>
          <w:bCs/>
          <w:kern w:val="0"/>
          <w:sz w:val="32"/>
          <w:szCs w:val="32"/>
        </w:rPr>
        <w:t>辆，应急保障用车</w:t>
      </w:r>
      <w:r>
        <w:rPr>
          <w:rFonts w:hint="eastAsia" w:eastAsia="仿宋_GB2312"/>
          <w:bCs/>
          <w:kern w:val="0"/>
          <w:sz w:val="32"/>
          <w:szCs w:val="32"/>
        </w:rPr>
        <w:t>0</w:t>
      </w:r>
      <w:r>
        <w:rPr>
          <w:rFonts w:eastAsia="仿宋_GB2312"/>
          <w:bCs/>
          <w:kern w:val="0"/>
          <w:sz w:val="32"/>
          <w:szCs w:val="32"/>
        </w:rPr>
        <w:t>辆，执法执勤用车</w:t>
      </w:r>
      <w:r>
        <w:rPr>
          <w:rFonts w:hint="eastAsia" w:eastAsia="仿宋_GB2312"/>
          <w:bCs/>
          <w:kern w:val="0"/>
          <w:sz w:val="32"/>
          <w:szCs w:val="32"/>
        </w:rPr>
        <w:t>0</w:t>
      </w:r>
      <w:r>
        <w:rPr>
          <w:rFonts w:eastAsia="仿宋_GB2312"/>
          <w:bCs/>
          <w:kern w:val="0"/>
          <w:sz w:val="32"/>
          <w:szCs w:val="32"/>
        </w:rPr>
        <w:t>辆，特种专业技术用车</w:t>
      </w:r>
      <w:r>
        <w:rPr>
          <w:rFonts w:hint="eastAsia" w:eastAsia="仿宋_GB2312"/>
          <w:bCs/>
          <w:kern w:val="0"/>
          <w:sz w:val="32"/>
          <w:szCs w:val="32"/>
        </w:rPr>
        <w:t>0</w:t>
      </w:r>
      <w:r>
        <w:rPr>
          <w:rFonts w:eastAsia="仿宋_GB2312"/>
          <w:bCs/>
          <w:kern w:val="0"/>
          <w:sz w:val="32"/>
          <w:szCs w:val="32"/>
        </w:rPr>
        <w:t>辆，其他按照规定配备的公务用车</w:t>
      </w:r>
      <w:r>
        <w:rPr>
          <w:rFonts w:hint="eastAsia" w:eastAsia="仿宋_GB2312"/>
          <w:bCs/>
          <w:kern w:val="0"/>
          <w:sz w:val="32"/>
          <w:szCs w:val="32"/>
        </w:rPr>
        <w:t>0</w:t>
      </w:r>
      <w:r>
        <w:rPr>
          <w:rFonts w:eastAsia="仿宋_GB2312"/>
          <w:bCs/>
          <w:kern w:val="0"/>
          <w:sz w:val="32"/>
          <w:szCs w:val="32"/>
        </w:rPr>
        <w:t>辆；新增配备单位价值50万元以上通用设备</w:t>
      </w:r>
      <w:r>
        <w:rPr>
          <w:rFonts w:hint="eastAsia" w:eastAsia="仿宋_GB2312"/>
          <w:bCs/>
          <w:kern w:val="0"/>
          <w:sz w:val="32"/>
          <w:szCs w:val="32"/>
        </w:rPr>
        <w:t>0</w:t>
      </w:r>
      <w:r>
        <w:rPr>
          <w:rFonts w:eastAsia="仿宋_GB2312"/>
          <w:bCs/>
          <w:kern w:val="0"/>
          <w:sz w:val="32"/>
          <w:szCs w:val="32"/>
        </w:rPr>
        <w:t>台，单位价值100万元以上专用设备</w:t>
      </w:r>
      <w:r>
        <w:rPr>
          <w:rFonts w:hint="eastAsia" w:eastAsia="仿宋_GB2312"/>
          <w:bCs/>
          <w:kern w:val="0"/>
          <w:sz w:val="32"/>
          <w:szCs w:val="32"/>
        </w:rPr>
        <w:t>0</w:t>
      </w:r>
      <w:r>
        <w:rPr>
          <w:rFonts w:eastAsia="仿宋_GB2312"/>
          <w:bCs/>
          <w:kern w:val="0"/>
          <w:sz w:val="32"/>
          <w:szCs w:val="32"/>
        </w:rPr>
        <w:t>台。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（六）预算绩效目标说明：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本部门所有支出实行绩效目标管理。纳入2024年部门整体支出绩效目标的金额为563.16万元，其中，基本支出413.66万元，项目支出149.5万元，具体绩效目标详见文尾附表中部门预算公开表格的表21-22。</w:t>
      </w:r>
    </w:p>
    <w:p>
      <w:pPr>
        <w:widowControl/>
        <w:spacing w:line="570" w:lineRule="atLeast"/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  <w:t>七、名词解释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1．机关运行经费：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是指各部门的公用经费，包括办公及印刷费、邮电费、差旅费、会议费、福利费、日常维修费、专用资料及一般设备购置费、办公用房水电费、办公用房取暖费、办公用房物业管理费、公务用车运行维护费以及其他费用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2．“三公”经费：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纳入省（市/县）财政预算管理的“三公“经费，是指用一般公共预算拨款安排的公务接待费、公务用车购置及运行维护费和因公出国（境）费。其中，公务接待费反映单位按规定开支的各类公务接待支出；公务用车购置及运行费反映单位公务用车车辆购置支出（含车辆购置税），以及燃料费、维修费、保险费等支出；因公出国（境）费反映单位公务出国（境）的国际旅费、国外城市间交通费、住宿费、伙食费、培训费、公杂费等支出。</w:t>
      </w: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  <w:bookmarkStart w:id="5" w:name="_GoBack"/>
      <w:bookmarkEnd w:id="5"/>
      <w:r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  <w:t>第二部分  2024年部门预算公开表格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1、收支总表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2、收入总表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3、支出总表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4、支出预算分类汇总表（按政府预算经济分类）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5、支出预算分类汇总表（按部门预算经济分类）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6、财政拨款收支总表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7、一般公共预算支出表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8、一般公共预算基本支出表-人员经费（工资福利支出）（按政府预算经济分类）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9、一般公共预算基本支出表-人员经费（工资福利支出）（按部门预算经济分类）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10、一般公共预算基本支出表-人员经费（对个人和家庭的补助）（按政府预算经济分类）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11、一般公共预算基本支出表-人员经费（对个人和家庭的补助）（按部门预算经济分类）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12、一般公共预算基本支出表-公用经费（商品和服务支出）（按政府预算经济分类）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13、一般公共预算基本支出表-公用经费（商品和服务支出）（按部门预算经济分类）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14、一般公共预算“三公”经费支出表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15、政府性基金预算支出表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16、政府性基金预算支出分类汇总表（按政府预算经济分类）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17、政府性基金预算支出分类汇总表（按部门预算经济分类）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18、国有资本经营预算支出表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19、财政专户管理资金预算支出表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20、专项资金预算汇总表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21、项目支出绩效目标表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22、部门整体支出绩效目标表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23、一般公共预算基本支出表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注：以上部门预算公开报表中，空表表示本部门无相关收支情况。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0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0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right="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附件：岳阳市君山区司法局2024年部门预算公开表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511038EA"/>
    <w:multiLevelType w:val="singleLevel"/>
    <w:tmpl w:val="511038EA"/>
    <w:lvl w:ilvl="0" w:tentative="0">
      <w:start w:val="1"/>
      <w:numFmt w:val="chineseCounting"/>
      <w:suff w:val="nothing"/>
      <w:lvlText w:val="（%1）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k4OWI1YTBjMDVmMmNiM2E1MjU2ZTkzMDY0OTdlNjQifQ=="/>
  </w:docVars>
  <w:rsids>
    <w:rsidRoot w:val="637274E6"/>
    <w:rsid w:val="00857C69"/>
    <w:rsid w:val="02412BCB"/>
    <w:rsid w:val="02FA7BB8"/>
    <w:rsid w:val="03631DE8"/>
    <w:rsid w:val="05DE428D"/>
    <w:rsid w:val="05ED25F6"/>
    <w:rsid w:val="079242AE"/>
    <w:rsid w:val="085D0C84"/>
    <w:rsid w:val="0992531D"/>
    <w:rsid w:val="0A0D382D"/>
    <w:rsid w:val="0B0E3992"/>
    <w:rsid w:val="0D2835D5"/>
    <w:rsid w:val="0ED939EE"/>
    <w:rsid w:val="0EDD3A99"/>
    <w:rsid w:val="13385187"/>
    <w:rsid w:val="144178C3"/>
    <w:rsid w:val="167C1082"/>
    <w:rsid w:val="168E55F8"/>
    <w:rsid w:val="16B94831"/>
    <w:rsid w:val="18844C6D"/>
    <w:rsid w:val="189316FC"/>
    <w:rsid w:val="1C591153"/>
    <w:rsid w:val="1C744CBF"/>
    <w:rsid w:val="1CD25B13"/>
    <w:rsid w:val="1D6E31FC"/>
    <w:rsid w:val="1D85581C"/>
    <w:rsid w:val="1FD800E8"/>
    <w:rsid w:val="200307FA"/>
    <w:rsid w:val="20A420AE"/>
    <w:rsid w:val="22DF4F83"/>
    <w:rsid w:val="2309444A"/>
    <w:rsid w:val="230C7214"/>
    <w:rsid w:val="24302B07"/>
    <w:rsid w:val="243D1BD3"/>
    <w:rsid w:val="256B3D61"/>
    <w:rsid w:val="264178B0"/>
    <w:rsid w:val="26962633"/>
    <w:rsid w:val="26E130FE"/>
    <w:rsid w:val="28C11323"/>
    <w:rsid w:val="29C372D4"/>
    <w:rsid w:val="29EC6874"/>
    <w:rsid w:val="2A351017"/>
    <w:rsid w:val="2BE30FD2"/>
    <w:rsid w:val="2CE455E0"/>
    <w:rsid w:val="2D6329A9"/>
    <w:rsid w:val="2DA53533"/>
    <w:rsid w:val="305B1762"/>
    <w:rsid w:val="305C2E10"/>
    <w:rsid w:val="3085088F"/>
    <w:rsid w:val="31A800DF"/>
    <w:rsid w:val="324A2389"/>
    <w:rsid w:val="32627A4B"/>
    <w:rsid w:val="32865768"/>
    <w:rsid w:val="328E45E1"/>
    <w:rsid w:val="328F1D91"/>
    <w:rsid w:val="32C66482"/>
    <w:rsid w:val="34521626"/>
    <w:rsid w:val="35683252"/>
    <w:rsid w:val="36BE748E"/>
    <w:rsid w:val="36CB7059"/>
    <w:rsid w:val="38E3475C"/>
    <w:rsid w:val="3951638D"/>
    <w:rsid w:val="3A242018"/>
    <w:rsid w:val="43666CD0"/>
    <w:rsid w:val="44E16B7D"/>
    <w:rsid w:val="472973EE"/>
    <w:rsid w:val="477C3FDA"/>
    <w:rsid w:val="47E411CF"/>
    <w:rsid w:val="47F15FD3"/>
    <w:rsid w:val="490966A2"/>
    <w:rsid w:val="496F41C2"/>
    <w:rsid w:val="4AD36F68"/>
    <w:rsid w:val="4B5D43D7"/>
    <w:rsid w:val="4BC03402"/>
    <w:rsid w:val="4DBF1A26"/>
    <w:rsid w:val="4EC2028E"/>
    <w:rsid w:val="4EE728E7"/>
    <w:rsid w:val="50447689"/>
    <w:rsid w:val="51B004D2"/>
    <w:rsid w:val="52A91D7A"/>
    <w:rsid w:val="53EA04B5"/>
    <w:rsid w:val="54A70CC5"/>
    <w:rsid w:val="56301712"/>
    <w:rsid w:val="5681523A"/>
    <w:rsid w:val="576A0C54"/>
    <w:rsid w:val="5A1535D7"/>
    <w:rsid w:val="5A380B96"/>
    <w:rsid w:val="5C9B365E"/>
    <w:rsid w:val="5D7F32CE"/>
    <w:rsid w:val="5F3F29C6"/>
    <w:rsid w:val="60884CBD"/>
    <w:rsid w:val="60B230E1"/>
    <w:rsid w:val="636D1293"/>
    <w:rsid w:val="637274E6"/>
    <w:rsid w:val="63894210"/>
    <w:rsid w:val="66065438"/>
    <w:rsid w:val="662F72F1"/>
    <w:rsid w:val="66B263EF"/>
    <w:rsid w:val="69175946"/>
    <w:rsid w:val="69F35F40"/>
    <w:rsid w:val="6B49147A"/>
    <w:rsid w:val="6B774F76"/>
    <w:rsid w:val="6C0749A4"/>
    <w:rsid w:val="6C1B6290"/>
    <w:rsid w:val="6C5E2742"/>
    <w:rsid w:val="6CB542C8"/>
    <w:rsid w:val="6CC62031"/>
    <w:rsid w:val="6E3062F6"/>
    <w:rsid w:val="7076663E"/>
    <w:rsid w:val="70AE175A"/>
    <w:rsid w:val="70F92319"/>
    <w:rsid w:val="728C4B01"/>
    <w:rsid w:val="729A1F96"/>
    <w:rsid w:val="739C7F8F"/>
    <w:rsid w:val="73BE1EBD"/>
    <w:rsid w:val="74232EF6"/>
    <w:rsid w:val="748B04A5"/>
    <w:rsid w:val="74D47E83"/>
    <w:rsid w:val="753F0C2D"/>
    <w:rsid w:val="77DE623F"/>
    <w:rsid w:val="78CC0C1A"/>
    <w:rsid w:val="791A5BDE"/>
    <w:rsid w:val="79233736"/>
    <w:rsid w:val="7C0A6716"/>
    <w:rsid w:val="7C9338B5"/>
    <w:rsid w:val="7E727695"/>
    <w:rsid w:val="7EBE525E"/>
    <w:rsid w:val="7F6D60FB"/>
    <w:rsid w:val="7F73429A"/>
    <w:rsid w:val="7F781CD9"/>
    <w:rsid w:val="7F7DB9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99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qFormat/>
    <w:uiPriority w:val="0"/>
    <w:pPr>
      <w:ind w:firstLine="420"/>
    </w:pPr>
    <w:rPr>
      <w:szCs w:val="20"/>
    </w:rPr>
  </w:style>
  <w:style w:type="paragraph" w:styleId="3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8">
    <w:name w:val="page number"/>
    <w:qFormat/>
    <w:uiPriority w:val="0"/>
  </w:style>
  <w:style w:type="character" w:styleId="9">
    <w:name w:val="Hyperlink"/>
    <w:basedOn w:val="7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hart" Target="charts/chart2.xml"/><Relationship Id="rId4" Type="http://schemas.openxmlformats.org/officeDocument/2006/relationships/chart" Target="charts/chart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themeOverride" Target="../theme/themeOverride1.xml"/><Relationship Id="rId1" Type="http://schemas.openxmlformats.org/officeDocument/2006/relationships/oleObject" Target="file:///C:\Users\Administrator\Desktop\&#25910;&#20837;&#39044;&#31639;&#22270;.xlsx" TargetMode="External"/></Relationships>
</file>

<file path=word/charts/_rels/chart2.xml.rels><?xml version="1.0" encoding="UTF-8" standalone="yes"?>
<Relationships xmlns="http://schemas.openxmlformats.org/package/2006/relationships"><Relationship Id="rId3" Type="http://schemas.microsoft.com/office/2011/relationships/chartColorStyle" Target="colors1.xml"/><Relationship Id="rId2" Type="http://schemas.microsoft.com/office/2011/relationships/chartStyle" Target="style1.xml"/><Relationship Id="rId1" Type="http://schemas.openxmlformats.org/officeDocument/2006/relationships/oleObject" Target="file:///d:\Documents\WeChat%20Files\wxid_8uktj8qci1hc22\FileStorage\File\2024-05\&#25910;&#20837;&#39044;&#31639;&#22270;.xlsx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zh-CN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 rot="0" spcFirstLastPara="0" vertOverflow="ellipsis" vert="horz" wrap="square" anchor="ctr" anchorCtr="1" forceAA="0"/>
          <a:lstStyle/>
          <a:p>
            <a:pPr>
              <a:defRPr lang="zh-CN" sz="1400" b="0" i="0" u="none" strike="noStrike" kern="1200" spc="0" baseline="0">
                <a:solidFill>
                  <a:schemeClr val="tx1"/>
                </a:solidFill>
                <a:latin typeface="+mn-lt"/>
                <a:ea typeface="+mn-ea"/>
                <a:cs typeface="+mn-cs"/>
              </a:defRPr>
            </a:pPr>
            <a:r>
              <a:t>收入预算图</a:t>
            </a:r>
          </a:p>
        </c:rich>
      </c:tx>
      <c:layout/>
      <c:overlay val="0"/>
      <c:spPr>
        <a:noFill/>
        <a:ln>
          <a:noFill/>
        </a:ln>
        <a:effectLst/>
      </c:spPr>
    </c:title>
    <c:autoTitleDeleted val="0"/>
    <c:plotArea>
      <c:layout/>
      <c:pieChart>
        <c:varyColors val="1"/>
        <c:ser>
          <c:idx val="0"/>
          <c:order val="0"/>
          <c:spPr>
            <a:ln w="15875" cmpd="sng">
              <a:solidFill>
                <a:schemeClr val="bg1"/>
              </a:solidFill>
              <a:prstDash val="solid"/>
            </a:ln>
            <a:effectLst/>
            <a:scene3d>
              <a:camera prst="orthographicFront"/>
              <a:lightRig rig="threePt" dir="t"/>
            </a:scene3d>
            <a:sp3d contourW="15875" prstMaterial="flat"/>
          </c:spPr>
          <c:explosion val="0"/>
          <c:dPt>
            <c:idx val="0"/>
            <c:bubble3D val="0"/>
            <c:spPr>
              <a:gradFill>
                <a:gsLst>
                  <a:gs pos="0">
                    <a:schemeClr val="accent1">
                      <a:lumMod val="60000"/>
                      <a:lumOff val="40000"/>
                    </a:schemeClr>
                  </a:gs>
                  <a:gs pos="70000">
                    <a:schemeClr val="accent1"/>
                  </a:gs>
                </a:gsLst>
                <a:lin ang="13500000" scaled="0"/>
              </a:gradFill>
              <a:ln w="15875" cmpd="sng">
                <a:solidFill>
                  <a:schemeClr val="accent1">
                    <a:lumMod val="75000"/>
                  </a:schemeClr>
                </a:solidFill>
                <a:prstDash val="solid"/>
              </a:ln>
              <a:effectLst/>
              <a:scene3d>
                <a:camera prst="orthographicFront"/>
                <a:lightRig rig="threePt" dir="t"/>
              </a:scene3d>
              <a:sp3d contourW="15875" prstMaterial="flat"/>
            </c:spPr>
          </c:dPt>
          <c:dLbls>
            <c:dLbl>
              <c:idx val="0"/>
              <c:layout/>
              <c:numFmt formatCode="General" sourceLinked="1"/>
              <c:spPr>
                <a:noFill/>
                <a:ln>
                  <a:noFill/>
                </a:ln>
                <a:effectLst/>
              </c:spPr>
              <c:txPr>
                <a:bodyPr rot="0" spcFirstLastPara="0" vertOverflow="ellipsis" vert="horz" wrap="square" lIns="38100" tIns="19050" rIns="38100" bIns="19050" anchor="ctr" anchorCtr="1" forceAA="0"/>
                <a:lstStyle/>
                <a:p>
                  <a:pPr>
                    <a:defRPr lang="zh-CN" sz="900" b="0" i="0" u="none" strike="noStrike" kern="1200" baseline="0">
                      <a:solidFill>
                        <a:schemeClr val="bg1"/>
                      </a:solidFill>
                      <a:effectLst>
                        <a:outerShdw blurRad="50800" dist="38100" dir="2700000" algn="tl" rotWithShape="0">
                          <a:prstClr val="black">
                            <a:alpha val="40000"/>
                          </a:prstClr>
                        </a:outerShdw>
                      </a:effectLst>
                      <a:latin typeface="+mn-lt"/>
                      <a:ea typeface="+mn-ea"/>
                      <a:cs typeface="+mn-cs"/>
                    </a:defRPr>
                  </a:pPr>
                </a:p>
              </c:txPr>
              <c:dLblPos val="inEnd"/>
              <c:showLegendKey val="0"/>
              <c:showVal val="0"/>
              <c:showCatName val="0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/>
              </c:extLst>
            </c:dLbl>
            <c:numFmt formatCode="General" sourceLinked="1"/>
            <c:spPr>
              <a:noFill/>
              <a:ln>
                <a:noFill/>
              </a:ln>
              <a:effectLst/>
            </c:spPr>
            <c:txPr>
              <a:bodyPr rot="0" spcFirstLastPara="0" vertOverflow="ellipsis" vert="horz" wrap="square" lIns="38100" tIns="19050" rIns="38100" bIns="19050" anchor="ctr" anchorCtr="1" forceAA="0"/>
              <a:lstStyle/>
              <a:p>
                <a:pPr>
                  <a:defRPr lang="zh-CN" sz="900" b="0" i="0" u="none" strike="noStrike" kern="1200" baseline="0">
                    <a:solidFill>
                      <a:schemeClr val="bg1"/>
                    </a:solidFill>
                    <a:effectLst>
                      <a:outerShdw blurRad="50800" dist="38100" dir="2700000" algn="tl" rotWithShape="0">
                        <a:prstClr val="black">
                          <a:alpha val="40000"/>
                        </a:prstClr>
                      </a:outerShdw>
                    </a:effectLst>
                    <a:latin typeface="+mn-lt"/>
                    <a:ea typeface="+mn-ea"/>
                    <a:cs typeface="+mn-cs"/>
                  </a:defRPr>
                </a:pPr>
              </a:p>
            </c:txPr>
            <c:dLblPos val="inEnd"/>
            <c:showLegendKey val="0"/>
            <c:showVal val="0"/>
            <c:showCatName val="0"/>
            <c:showSerName val="0"/>
            <c:showPercent val="1"/>
            <c:showBubbleSize val="0"/>
            <c:showLeaderLines val="1"/>
            <c:extLst>
              <c:ext xmlns:c15="http://schemas.microsoft.com/office/drawing/2012/chart" uri="{CE6537A1-D6FC-4f65-9D91-7224C49458BB}">
                <c15:layout/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prstDash val="solid"/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extLst>
                <c:ext xmlns:c15="http://schemas.microsoft.com/office/drawing/2012/chart" uri="{02D57815-91ED-43cb-92C2-25804820EDAC}">
                  <c15:fullRef>
                    <c15:sqref>[收入预算图.xlsx]Sheet1!$B$31:$B$32</c15:sqref>
                  </c15:fullRef>
                </c:ext>
              </c:extLst>
              <c:f>[收入预算图.xlsx]Sheet1!$B$31</c:f>
              <c:strCache>
                <c:ptCount val="1"/>
                <c:pt idx="0">
                  <c:v>一般公共预算拨款收入</c:v>
                </c:pt>
              </c:strCache>
            </c:strRef>
          </c:cat>
          <c:val>
            <c:numRef>
              <c:extLst>
                <c:ext xmlns:c15="http://schemas.microsoft.com/office/drawing/2012/chart" uri="{02D57815-91ED-43cb-92C2-25804820EDAC}">
                  <c15:fullRef>
                    <c15:sqref>Sheet1!$C$31:$C$32</c15:sqref>
                  </c15:fullRef>
                </c:ext>
              </c:extLst>
              <c:f>[收入预算图.xlsx]Sheet1!$C$31</c:f>
              <c:numCache>
                <c:formatCode>0%</c:formatCode>
                <c:ptCount val="1"/>
                <c:pt idx="0">
                  <c:v>1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1"/>
          <c:showBubbleSize val="0"/>
          <c:showLeaderLines val="1"/>
        </c:dLbls>
        <c:firstSliceAng val="0"/>
      </c:pieChart>
      <c:spPr>
        <a:noFill/>
        <a:ln>
          <a:noFill/>
        </a:ln>
        <a:effectLst/>
      </c:spPr>
    </c:plotArea>
    <c:legend>
      <c:legendPos val="r"/>
      <c:layout/>
      <c:overlay val="0"/>
      <c:spPr>
        <a:noFill/>
        <a:ln>
          <a:noFill/>
        </a:ln>
        <a:effectLst/>
      </c:spPr>
      <c:txPr>
        <a:bodyPr rot="0" spcFirstLastPara="0" vertOverflow="ellipsis" vert="horz" wrap="square" anchor="ctr" anchorCtr="1" forceAA="0"/>
        <a:lstStyle/>
        <a:p>
          <a:pPr>
            <a:defRPr lang="zh-CN" sz="900" b="0" i="0" u="none" strike="noStrike" kern="1200" baseline="0">
              <a:solidFill>
                <a:schemeClr val="tx1">
                  <a:lumMod val="50000"/>
                  <a:lumOff val="50000"/>
                </a:schemeClr>
              </a:solidFill>
              <a:latin typeface="+mn-lt"/>
              <a:ea typeface="+mn-ea"/>
              <a:cs typeface="+mn-cs"/>
            </a:defRPr>
          </a:pPr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bg1">
          <a:lumMod val="85000"/>
        </a:schemeClr>
      </a:solidFill>
      <a:prstDash val="solid"/>
      <a:round/>
    </a:ln>
    <a:effectLst>
      <a:outerShdw blurRad="63500" dist="37357" dir="2700000" sx="0" sy="0" rotWithShape="0">
        <a:scrgbClr r="0" g="0" b="0"/>
      </a:outerShdw>
    </a:effectLst>
  </c:spPr>
  <c:txPr>
    <a:bodyPr/>
    <a:lstStyle/>
    <a:p>
      <a:pPr>
        <a:defRPr lang="zh-CN"/>
      </a:pPr>
    </a:p>
  </c:tx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zh-CN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0" vertOverflow="ellipsis" vert="horz" wrap="square" anchor="ctr" anchorCtr="1"/>
          <a:lstStyle/>
          <a:p>
            <a:pPr>
              <a:defRPr lang="zh-CN" sz="1400" b="1" i="0" u="none" strike="noStrike" kern="1200" baseline="0">
                <a:solidFill>
                  <a:schemeClr val="dk1">
                    <a:lumMod val="75000"/>
                    <a:lumOff val="2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t>支出预算图</a:t>
            </a:r>
          </a:p>
        </c:rich>
      </c:tx>
      <c:layout/>
      <c:overlay val="0"/>
      <c:spPr>
        <a:noFill/>
        <a:ln>
          <a:noFill/>
        </a:ln>
        <a:effectLst/>
      </c:spPr>
    </c:title>
    <c:autoTitleDeleted val="0"/>
    <c:view3D>
      <c:rotX val="30"/>
      <c:rotY val="0"/>
      <c:depthPercent val="100"/>
      <c:rAngAx val="0"/>
    </c:view3D>
    <c:floor>
      <c:thickness val="0"/>
      <c:spPr>
        <a:noFill/>
        <a:effectLst/>
      </c:spPr>
    </c:floor>
    <c:sideWall>
      <c:thickness val="0"/>
      <c:spPr>
        <a:noFill/>
        <a:effectLst/>
      </c:spPr>
    </c:sideWall>
    <c:backWall>
      <c:thickness val="0"/>
      <c:spPr>
        <a:noFill/>
        <a:effectLst/>
      </c:spPr>
    </c:backWall>
    <c:plotArea>
      <c:layout/>
      <c:pie3DChart>
        <c:varyColors val="1"/>
        <c:ser>
          <c:idx val="0"/>
          <c:order val="0"/>
          <c:spPr>
            <a:scene3d>
              <a:camera prst="orthographicFront"/>
              <a:lightRig rig="threePt" dir="t"/>
            </a:scene3d>
            <a:sp3d contourW="9525"/>
          </c:spPr>
          <c:explosion val="0"/>
          <c:dPt>
            <c:idx val="0"/>
            <c:bubble3D val="0"/>
            <c:spPr>
              <a:gradFill>
                <a:gsLst>
                  <a:gs pos="100000">
                    <a:schemeClr val="accent1"/>
                  </a:gs>
                  <a:gs pos="0">
                    <a:schemeClr val="accent1">
                      <a:hueOff val="-1670000"/>
                    </a:schemeClr>
                  </a:gs>
                </a:gsLst>
                <a:lin ang="5400000" scaled="0"/>
              </a:gradFill>
              <a:ln>
                <a:gradFill>
                  <a:gsLst>
                    <a:gs pos="100000">
                      <a:schemeClr val="accent1">
                        <a:lumMod val="75000"/>
                      </a:schemeClr>
                    </a:gs>
                    <a:gs pos="0">
                      <a:schemeClr val="accent1">
                        <a:lumMod val="75000"/>
                        <a:hueOff val="-1670000"/>
                      </a:schemeClr>
                    </a:gs>
                  </a:gsLst>
                  <a:lin ang="4620000" scaled="0"/>
                </a:gradFill>
              </a:ln>
              <a:effectLst/>
            </c:spPr>
          </c:dPt>
          <c:dPt>
            <c:idx val="1"/>
            <c:bubble3D val="0"/>
            <c:spPr>
              <a:gradFill>
                <a:gsLst>
                  <a:gs pos="100000">
                    <a:schemeClr val="accent2"/>
                  </a:gs>
                  <a:gs pos="0">
                    <a:schemeClr val="accent2">
                      <a:hueOff val="-1670000"/>
                    </a:schemeClr>
                  </a:gs>
                </a:gsLst>
                <a:lin ang="5400000" scaled="0"/>
              </a:gradFill>
              <a:ln>
                <a:gradFill>
                  <a:gsLst>
                    <a:gs pos="100000">
                      <a:schemeClr val="accent2">
                        <a:lumMod val="75000"/>
                      </a:schemeClr>
                    </a:gs>
                    <a:gs pos="0">
                      <a:schemeClr val="accent2">
                        <a:lumMod val="75000"/>
                        <a:hueOff val="-1670000"/>
                      </a:schemeClr>
                    </a:gs>
                  </a:gsLst>
                  <a:lin ang="4620000" scaled="0"/>
                </a:gradFill>
              </a:ln>
              <a:effectLst/>
            </c:spPr>
          </c:dPt>
          <c:dPt>
            <c:idx val="2"/>
            <c:bubble3D val="0"/>
            <c:spPr>
              <a:gradFill>
                <a:gsLst>
                  <a:gs pos="100000">
                    <a:schemeClr val="accent3"/>
                  </a:gs>
                  <a:gs pos="0">
                    <a:schemeClr val="accent3">
                      <a:hueOff val="-1670000"/>
                    </a:schemeClr>
                  </a:gs>
                </a:gsLst>
                <a:lin ang="5400000" scaled="0"/>
              </a:gradFill>
              <a:ln>
                <a:gradFill>
                  <a:gsLst>
                    <a:gs pos="100000">
                      <a:schemeClr val="accent3">
                        <a:lumMod val="75000"/>
                      </a:schemeClr>
                    </a:gs>
                    <a:gs pos="0">
                      <a:schemeClr val="accent3">
                        <a:lumMod val="75000"/>
                        <a:hueOff val="-1670000"/>
                      </a:schemeClr>
                    </a:gs>
                  </a:gsLst>
                  <a:lin ang="4620000" scaled="0"/>
                </a:gradFill>
              </a:ln>
              <a:effectLst/>
            </c:spPr>
          </c:dPt>
          <c:dPt>
            <c:idx val="3"/>
            <c:bubble3D val="0"/>
            <c:spPr>
              <a:gradFill>
                <a:gsLst>
                  <a:gs pos="100000">
                    <a:schemeClr val="accent4"/>
                  </a:gs>
                  <a:gs pos="0">
                    <a:schemeClr val="accent4">
                      <a:hueOff val="-1670000"/>
                    </a:schemeClr>
                  </a:gs>
                </a:gsLst>
                <a:lin ang="5400000" scaled="0"/>
              </a:gradFill>
              <a:ln>
                <a:gradFill>
                  <a:gsLst>
                    <a:gs pos="100000">
                      <a:schemeClr val="accent4">
                        <a:lumMod val="75000"/>
                      </a:schemeClr>
                    </a:gs>
                    <a:gs pos="0">
                      <a:schemeClr val="accent4">
                        <a:lumMod val="75000"/>
                        <a:hueOff val="-1670000"/>
                      </a:schemeClr>
                    </a:gs>
                  </a:gsLst>
                  <a:lin ang="4620000" scaled="0"/>
                </a:gradFill>
              </a:ln>
              <a:effectLst/>
            </c:spPr>
          </c:dPt>
          <c:dPt>
            <c:idx val="4"/>
            <c:bubble3D val="0"/>
            <c:spPr>
              <a:gradFill>
                <a:gsLst>
                  <a:gs pos="100000">
                    <a:schemeClr val="accent5"/>
                  </a:gs>
                  <a:gs pos="0">
                    <a:schemeClr val="accent5">
                      <a:hueOff val="-1670000"/>
                    </a:schemeClr>
                  </a:gs>
                </a:gsLst>
                <a:lin ang="5400000" scaled="0"/>
              </a:gradFill>
              <a:ln>
                <a:gradFill>
                  <a:gsLst>
                    <a:gs pos="100000">
                      <a:schemeClr val="accent5">
                        <a:lumMod val="75000"/>
                      </a:schemeClr>
                    </a:gs>
                    <a:gs pos="0">
                      <a:schemeClr val="accent5">
                        <a:lumMod val="75000"/>
                        <a:hueOff val="-1670000"/>
                      </a:schemeClr>
                    </a:gs>
                  </a:gsLst>
                  <a:lin ang="4620000" scaled="0"/>
                </a:gradFill>
              </a:ln>
              <a:effectLst/>
              <a:scene3d>
                <a:camera prst="orthographicFront"/>
                <a:lightRig rig="threePt" dir="t"/>
              </a:scene3d>
              <a:sp3d contourW="9525"/>
            </c:spPr>
          </c:dPt>
          <c:dPt>
            <c:idx val="5"/>
            <c:bubble3D val="0"/>
            <c:spPr>
              <a:gradFill>
                <a:gsLst>
                  <a:gs pos="100000">
                    <a:schemeClr val="accent6"/>
                  </a:gs>
                  <a:gs pos="0">
                    <a:schemeClr val="accent6">
                      <a:hueOff val="-1670000"/>
                    </a:schemeClr>
                  </a:gs>
                </a:gsLst>
                <a:lin ang="5400000" scaled="0"/>
              </a:gradFill>
              <a:ln>
                <a:gradFill>
                  <a:gsLst>
                    <a:gs pos="100000">
                      <a:schemeClr val="accent6">
                        <a:lumMod val="75000"/>
                      </a:schemeClr>
                    </a:gs>
                    <a:gs pos="0">
                      <a:schemeClr val="accent6">
                        <a:lumMod val="75000"/>
                        <a:hueOff val="-1670000"/>
                      </a:schemeClr>
                    </a:gs>
                  </a:gsLst>
                  <a:lin ang="4620000" scaled="0"/>
                </a:gradFill>
              </a:ln>
              <a:effectLst/>
              <a:scene3d>
                <a:camera prst="orthographicFront"/>
                <a:lightRig rig="threePt" dir="t"/>
              </a:scene3d>
              <a:sp3d contourW="9525"/>
            </c:spPr>
          </c:dPt>
          <c:dLbls>
            <c:dLbl>
              <c:idx val="0"/>
              <c:layout>
                <c:manualLayout>
                  <c:x val="-0.0383328262853666"/>
                  <c:y val="-0.0292583069094597"/>
                </c:manualLayout>
              </c:layout>
              <c:numFmt formatCode="0.00%" sourceLinked="0"/>
              <c:spPr>
                <a:solidFill>
                  <a:sysClr val="window" lastClr="FFFFFF"/>
                </a:solidFill>
                <a:ln>
                  <a:solidFill>
                    <a:sysClr val="windowText" lastClr="000000">
                      <a:lumMod val="65000"/>
                      <a:lumOff val="35000"/>
                    </a:sysClr>
                  </a:solidFill>
                </a:ln>
                <a:effectLst/>
              </c:spPr>
              <c:txPr>
                <a:bodyPr rot="0" spcFirstLastPara="0" vertOverflow="ellipsis" vert="horz" wrap="square" lIns="38100" tIns="19050" rIns="38100" bIns="19050" anchor="ctr" anchorCtr="1"/>
                <a:lstStyle/>
                <a:p>
                  <a:pPr>
                    <a:defRPr lang="zh-CN" sz="1000" b="0" i="0" u="none" strike="noStrike" kern="1200" baseline="0">
                      <a:solidFill>
                        <a:schemeClr val="dk1">
                          <a:lumMod val="75000"/>
                          <a:lumOff val="25000"/>
                        </a:schemeClr>
                      </a:solidFill>
                      <a:latin typeface="+mn-lt"/>
                      <a:ea typeface="+mn-ea"/>
                      <a:cs typeface="+mn-cs"/>
                    </a:defRPr>
                  </a:pPr>
                </a:p>
              </c:txPr>
              <c:dLblPos val="bestFit"/>
              <c:showLegendKey val="0"/>
              <c:showVal val="0"/>
              <c:showCatName val="1"/>
              <c:showSerName val="0"/>
              <c:showPercent val="1"/>
              <c:showBubbleSize val="0"/>
              <c:separator> </c:separator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1"/>
              <c:layout>
                <c:manualLayout>
                  <c:x val="0.0679612745329732"/>
                  <c:y val="-0.037399556058478"/>
                </c:manualLayout>
              </c:layout>
              <c:numFmt formatCode="0.00%" sourceLinked="0"/>
              <c:spPr>
                <a:solidFill>
                  <a:sysClr val="window" lastClr="FFFFFF"/>
                </a:solidFill>
                <a:ln>
                  <a:solidFill>
                    <a:sysClr val="windowText" lastClr="000000">
                      <a:lumMod val="65000"/>
                      <a:lumOff val="35000"/>
                    </a:sysClr>
                  </a:solidFill>
                </a:ln>
                <a:effectLst/>
              </c:spPr>
              <c:txPr>
                <a:bodyPr rot="0" spcFirstLastPara="0" vertOverflow="ellipsis" vert="horz" wrap="square" lIns="38100" tIns="19050" rIns="38100" bIns="19050" anchor="ctr" anchorCtr="1"/>
                <a:lstStyle/>
                <a:p>
                  <a:pPr>
                    <a:defRPr lang="zh-CN" sz="1000" b="0" i="0" u="none" strike="noStrike" kern="1200" baseline="0">
                      <a:solidFill>
                        <a:schemeClr val="dk1">
                          <a:lumMod val="75000"/>
                          <a:lumOff val="25000"/>
                        </a:schemeClr>
                      </a:solidFill>
                      <a:latin typeface="+mn-lt"/>
                      <a:ea typeface="+mn-ea"/>
                      <a:cs typeface="+mn-cs"/>
                    </a:defRPr>
                  </a:pPr>
                </a:p>
              </c:txPr>
              <c:dLblPos val="bestFit"/>
              <c:showLegendKey val="0"/>
              <c:showVal val="0"/>
              <c:showCatName val="1"/>
              <c:showSerName val="0"/>
              <c:showPercent val="1"/>
              <c:showBubbleSize val="0"/>
              <c:separator> </c:separator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2"/>
              <c:layout>
                <c:manualLayout>
                  <c:x val="-0.130597809552784"/>
                  <c:y val="-0.0692934782608696"/>
                </c:manualLayout>
              </c:layout>
              <c:numFmt formatCode="0.00%" sourceLinked="0"/>
              <c:spPr>
                <a:solidFill>
                  <a:sysClr val="window" lastClr="FFFFFF"/>
                </a:solidFill>
                <a:ln>
                  <a:solidFill>
                    <a:sysClr val="windowText" lastClr="000000">
                      <a:lumMod val="65000"/>
                      <a:lumOff val="35000"/>
                    </a:sysClr>
                  </a:solidFill>
                </a:ln>
                <a:effectLst/>
              </c:spPr>
              <c:txPr>
                <a:bodyPr rot="0" spcFirstLastPara="0" vertOverflow="ellipsis" vert="horz" wrap="square" lIns="38100" tIns="19050" rIns="38100" bIns="19050" anchor="ctr" anchorCtr="1"/>
                <a:lstStyle/>
                <a:p>
                  <a:pPr>
                    <a:defRPr lang="zh-CN" sz="1000" b="0" i="0" u="none" strike="noStrike" kern="1200" baseline="0">
                      <a:solidFill>
                        <a:schemeClr val="dk1">
                          <a:lumMod val="75000"/>
                          <a:lumOff val="25000"/>
                        </a:schemeClr>
                      </a:solidFill>
                      <a:latin typeface="+mn-lt"/>
                      <a:ea typeface="+mn-ea"/>
                      <a:cs typeface="+mn-cs"/>
                    </a:defRPr>
                  </a:pPr>
                </a:p>
              </c:txPr>
              <c:dLblPos val="bestFit"/>
              <c:showLegendKey val="0"/>
              <c:showVal val="0"/>
              <c:showCatName val="1"/>
              <c:showSerName val="0"/>
              <c:showPercent val="1"/>
              <c:showBubbleSize val="0"/>
              <c:separator> </c:separator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3"/>
              <c:layout>
                <c:manualLayout>
                  <c:x val="-0.0474388535015672"/>
                  <c:y val="0.112404745400633"/>
                </c:manualLayout>
              </c:layout>
              <c:numFmt formatCode="0.00%" sourceLinked="0"/>
              <c:spPr>
                <a:solidFill>
                  <a:sysClr val="window" lastClr="FFFFFF"/>
                </a:solidFill>
                <a:ln>
                  <a:solidFill>
                    <a:sysClr val="windowText" lastClr="000000">
                      <a:lumMod val="65000"/>
                      <a:lumOff val="35000"/>
                    </a:sysClr>
                  </a:solidFill>
                </a:ln>
                <a:effectLst/>
              </c:spPr>
              <c:txPr>
                <a:bodyPr rot="0" spcFirstLastPara="0" vertOverflow="ellipsis" vert="horz" wrap="square" lIns="38100" tIns="19050" rIns="38100" bIns="19050" anchor="ctr" anchorCtr="1"/>
                <a:lstStyle/>
                <a:p>
                  <a:pPr>
                    <a:defRPr lang="zh-CN" sz="1000" b="0" i="0" u="none" strike="noStrike" kern="1200" baseline="0">
                      <a:solidFill>
                        <a:schemeClr val="dk1">
                          <a:lumMod val="75000"/>
                          <a:lumOff val="25000"/>
                        </a:schemeClr>
                      </a:solidFill>
                      <a:latin typeface="+mn-lt"/>
                      <a:ea typeface="+mn-ea"/>
                      <a:cs typeface="+mn-cs"/>
                    </a:defRPr>
                  </a:pPr>
                </a:p>
              </c:txPr>
              <c:dLblPos val="bestFit"/>
              <c:showLegendKey val="0"/>
              <c:showVal val="0"/>
              <c:showCatName val="1"/>
              <c:showSerName val="0"/>
              <c:showPercent val="1"/>
              <c:showBubbleSize val="0"/>
              <c:separator> </c:separator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4"/>
              <c:layout>
                <c:manualLayout>
                  <c:x val="-0.00621632822213013"/>
                  <c:y val="-0.03808717731697"/>
                </c:manualLayout>
              </c:layout>
              <c:dLblPos val="bestFit"/>
              <c:showLegendKey val="0"/>
              <c:showVal val="0"/>
              <c:showCatName val="1"/>
              <c:showSerName val="0"/>
              <c:showPercent val="1"/>
              <c:showBubbleSize val="0"/>
              <c:separator> </c:separator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5"/>
              <c:layout>
                <c:manualLayout>
                  <c:x val="-0.00828843762950684"/>
                  <c:y val="-0.0507829030892933"/>
                </c:manualLayout>
              </c:layout>
              <c:dLblPos val="bestFit"/>
              <c:showLegendKey val="0"/>
              <c:showVal val="0"/>
              <c:showCatName val="1"/>
              <c:showSerName val="0"/>
              <c:showPercent val="1"/>
              <c:showBubbleSize val="0"/>
              <c:separator> </c:separator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numFmt formatCode="0.00%" sourceLinked="0"/>
            <c:spPr>
              <a:solidFill>
                <a:sysClr val="window" lastClr="FFFFFF"/>
              </a:solidFill>
              <a:ln>
                <a:solidFill>
                  <a:sysClr val="windowText" lastClr="000000">
                    <a:lumMod val="65000"/>
                    <a:lumOff val="35000"/>
                  </a:sysClr>
                </a:solidFill>
              </a:ln>
              <a:effectLst/>
            </c:spPr>
            <c:txPr>
              <a:bodyPr rot="0" spcFirstLastPara="0" vertOverflow="ellipsis" vert="horz" wrap="square" lIns="38100" tIns="19050" rIns="38100" bIns="19050" anchor="ctr" anchorCtr="1"/>
              <a:lstStyle/>
              <a:p>
                <a:pPr>
                  <a:defRPr lang="zh-CN" sz="1000" b="0" i="0" u="none" strike="noStrike" kern="1200" baseline="0">
                    <a:solidFill>
                      <a:schemeClr val="dk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</a:p>
            </c:txPr>
            <c:dLblPos val="outEnd"/>
            <c:showLegendKey val="0"/>
            <c:showVal val="0"/>
            <c:showCatName val="1"/>
            <c:showSerName val="0"/>
            <c:showPercent val="1"/>
            <c:showBubbleSize val="0"/>
            <c:separator> </c:separator>
            <c:showLeaderLines val="1"/>
            <c:extLst>
              <c:ext xmlns:c15="http://schemas.microsoft.com/office/drawing/2012/chart" uri="{CE6537A1-D6FC-4f65-9D91-7224C49458BB}">
                <c15:spPr xmlns:c15="http://schemas.microsoft.com/office/drawing/2012/chart">
                  <a:prstGeom prst="roundRect">
                    <a:avLst/>
                  </a:prstGeom>
                  <a:noFill/>
                  <a:ln>
                    <a:noFill/>
                  </a:ln>
                </c15:spPr>
                <c15:layout/>
                <c15:showLeaderLines val="1"/>
                <c15:leaderLines>
                  <c:spPr>
                    <a:ln w="9525">
                      <a:solidFill>
                        <a:schemeClr val="dk1">
                          <a:lumMod val="35000"/>
                          <a:lumOff val="65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[收入预算图.xlsx]Sheet1!$B$2:$B$7</c:f>
              <c:strCache>
                <c:ptCount val="6"/>
                <c:pt idx="0">
                  <c:v>公共安全支出</c:v>
                </c:pt>
              </c:strCache>
            </c:strRef>
          </c:cat>
          <c:val>
            <c:numRef>
              <c:f>[收入预算图.xlsx]Sheet1!$C$2:$C$7</c:f>
              <c:numCache>
                <c:formatCode>0.00%</c:formatCode>
                <c:ptCount val="6"/>
                <c:pt idx="0">
                  <c:v>1</c:v>
                </c:pt>
              </c:numCache>
            </c:numRef>
          </c:val>
        </c:ser>
        <c:dLbls>
          <c:showLegendKey val="0"/>
          <c:showVal val="0"/>
          <c:showCatName val="1"/>
          <c:showSerName val="0"/>
          <c:showPercent val="1"/>
          <c:showBubbleSize val="0"/>
        </c:dLbls>
      </c:pie3DChart>
      <c:spPr>
        <a:noFill/>
        <a:ln>
          <a:noFill/>
        </a:ln>
        <a:effectLst/>
      </c:spPr>
    </c:plotArea>
    <c:legend>
      <c:legendPos val="t"/>
      <c:layout/>
      <c:overlay val="0"/>
      <c:spPr>
        <a:noFill/>
        <a:ln>
          <a:noFill/>
        </a:ln>
        <a:effectLst/>
      </c:spPr>
      <c:txPr>
        <a:bodyPr rot="0" spcFirstLastPara="0" vertOverflow="ellipsis" vert="horz" wrap="square" anchor="ctr" anchorCtr="1"/>
        <a:lstStyle/>
        <a:p>
          <a:pPr>
            <a:defRPr lang="zh-CN" sz="900" b="0" i="0" u="none" strike="noStrike" kern="1200" baseline="0">
              <a:solidFill>
                <a:schemeClr val="dk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</a:p>
      </c:txPr>
    </c:legend>
    <c:plotVisOnly val="1"/>
    <c:dispBlanksAs val="gap"/>
    <c:showDLblsOverMax val="0"/>
  </c:chart>
  <c:spPr>
    <a:solidFill>
      <a:schemeClr val="lt1">
        <a:lumMod val="96000"/>
      </a:schemeClr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 lang="zh-CN"/>
      </a:pPr>
    </a:p>
  </c:txPr>
  <c:externalData r:id="rId1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10097">
  <cs:axisTitle>
    <cs:lnRef idx="0"/>
    <cs:fillRef idx="0"/>
    <cs:effectRef idx="0"/>
    <cs:fontRef idx="minor">
      <a:schemeClr val="dk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dk1">
        <a:lumMod val="65000"/>
        <a:lumOff val="35000"/>
      </a:schemeClr>
    </cs:fontRef>
    <cs:spPr>
      <a:ln w="9525" cap="flat" cmpd="sng" algn="ctr">
        <a:solidFill>
          <a:schemeClr val="dk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lt1">
          <a:lumMod val="96000"/>
        </a:schemeClr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dk1">
        <a:lumMod val="75000"/>
        <a:lumOff val="25000"/>
      </a:schemeClr>
    </cs:fontRef>
    <cs:defRPr sz="10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10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ln w="19050">
        <a:solidFill>
          <a:schemeClr val="lt1"/>
        </a:solidFill>
      </a:ln>
    </cs:spPr>
  </cs:dataPoint>
  <cs:dataPoint3D>
    <cs:lnRef idx="0">
      <cs:styleClr val="auto"/>
    </cs:lnRef>
    <cs:fillRef idx="0">
      <cs:styleClr val="auto"/>
    </cs:fillRef>
    <cs:effectRef idx="0"/>
    <cs:fontRef idx="minor">
      <a:schemeClr val="dk1"/>
    </cs:fontRef>
    <cs:spPr>
      <a:gradFill>
        <a:gsLst>
          <a:gs pos="100000">
            <a:schemeClr val="phClr"/>
          </a:gs>
          <a:gs pos="0">
            <a:schemeClr val="phClr">
              <a:hueOff val="-1670000"/>
            </a:schemeClr>
          </a:gs>
        </a:gsLst>
        <a:lin ang="5400000" scaled="0"/>
      </a:gradFill>
      <a:ln>
        <a:gradFill>
          <a:gsLst>
            <a:gs pos="100000">
              <a:schemeClr val="phClr">
                <a:lumMod val="75000"/>
              </a:schemeClr>
            </a:gs>
            <a:gs pos="0">
              <a:schemeClr val="phClr">
                <a:lumMod val="75000"/>
                <a:hueOff val="-1670000"/>
              </a:schemeClr>
            </a:gs>
          </a:gsLst>
          <a:lin ang="4620000" scaled="0"/>
        </a:gradFill>
      </a:ln>
      <a:effectLst/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dk1">
        <a:lumMod val="65000"/>
        <a:lumOff val="35000"/>
      </a:schemeClr>
    </cs:fontRef>
    <cs:spPr>
      <a:noFill/>
      <a:ln w="9525" cap="flat" cmpd="sng" algn="ctr">
        <a:solidFill>
          <a:schemeClr val="dk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>
        <a:solidFill>
          <a:schemeClr val="dk1">
            <a:lumMod val="35000"/>
            <a:lumOff val="65000"/>
          </a:schemeClr>
        </a:solidFill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dk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lt1">
            <a:lumMod val="902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>
        <a:solidFill>
          <a:schemeClr val="dk1">
            <a:lumMod val="75000"/>
            <a:lumOff val="25000"/>
          </a:schemeClr>
        </a:solidFill>
      </a:ln>
    </cs:spPr>
  </cs:hiLoLine>
  <cs:leaderLine>
    <cs:lnRef idx="0"/>
    <cs:fillRef idx="0"/>
    <cs:effectRef idx="0"/>
    <cs:fontRef idx="minor">
      <a:schemeClr val="tx1"/>
    </cs:fontRef>
    <cs:spPr>
      <a:ln w="9525">
        <a:solidFill>
          <a:schemeClr val="dk1">
            <a:lumMod val="35000"/>
            <a:lumOff val="65000"/>
          </a:schemeClr>
        </a:solidFill>
      </a:ln>
    </cs:spPr>
  </cs:leaderLine>
  <cs:legend>
    <cs:lnRef idx="0"/>
    <cs:fillRef idx="0"/>
    <cs:effectRef idx="0"/>
    <cs:fontRef idx="minor">
      <a:schemeClr val="dk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dk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>
        <a:solidFill>
          <a:schemeClr val="dk1">
            <a:lumMod val="35000"/>
            <a:lumOff val="65000"/>
          </a:schemeClr>
        </a:solidFill>
      </a:ln>
    </cs:spPr>
  </cs:seriesLine>
  <cs:title>
    <cs:lnRef idx="0"/>
    <cs:fillRef idx="0"/>
    <cs:effectRef idx="0"/>
    <cs:fontRef idx="minor">
      <a:schemeClr val="dk1">
        <a:lumMod val="75000"/>
        <a:lumOff val="25000"/>
      </a:schemeClr>
    </cs:fontRef>
    <cs:defRPr sz="1400" b="1" kern="120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dk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dk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word/theme/themeOverride1.xml><?xml version="1.0" encoding="utf-8"?>
<a:themeOverride xmlns:a="http://schemas.openxmlformats.org/drawingml/2006/main">
  <a:clrScheme name="自定义 6">
    <a:dk1>
      <a:srgbClr val="000000"/>
    </a:dk1>
    <a:lt1>
      <a:srgbClr val="FFFFFF"/>
    </a:lt1>
    <a:dk2>
      <a:srgbClr val="0C0E1F"/>
    </a:dk2>
    <a:lt2>
      <a:srgbClr val="FEFFFF"/>
    </a:lt2>
    <a:accent1>
      <a:srgbClr val="54C9FA"/>
    </a:accent1>
    <a:accent2>
      <a:srgbClr val="6C92FD"/>
    </a:accent2>
    <a:accent3>
      <a:srgbClr val="FF731F"/>
    </a:accent3>
    <a:accent4>
      <a:srgbClr val="16CC8A"/>
    </a:accent4>
    <a:accent5>
      <a:srgbClr val="FFC619"/>
    </a:accent5>
    <a:accent6>
      <a:srgbClr val="4E37FF"/>
    </a:accent6>
    <a:hlink>
      <a:srgbClr val="304FFE"/>
    </a:hlink>
    <a:folHlink>
      <a:srgbClr val="492067"/>
    </a:folHlink>
  </a:clrScheme>
  <a:fontScheme name="自定义 2">
    <a:majorFont>
      <a:latin typeface="微软雅黑"/>
      <a:ea typeface="微软雅黑"/>
      <a:cs typeface=""/>
    </a:majorFont>
    <a:minorFont>
      <a:latin typeface="微软雅黑"/>
      <a:ea typeface="微软雅黑"/>
      <a:cs typeface=""/>
    </a:minorFont>
  </a:fontScheme>
  <a:fmtScheme name="Office">
    <a:fillStyleLst>
      <a:solidFill>
        <a:schemeClr val="phClr"/>
      </a:solidFill>
      <a:gradFill rotWithShape="1">
        <a:gsLst>
          <a:gs pos="0">
            <a:schemeClr val="phClr">
              <a:lumMod val="110000"/>
              <a:satMod val="105000"/>
              <a:tint val="67000"/>
            </a:schemeClr>
          </a:gs>
          <a:gs pos="50000">
            <a:schemeClr val="phClr">
              <a:lumMod val="105000"/>
              <a:satMod val="103000"/>
              <a:tint val="73000"/>
            </a:schemeClr>
          </a:gs>
          <a:gs pos="100000">
            <a:schemeClr val="phClr">
              <a:lumMod val="105000"/>
              <a:satMod val="109000"/>
              <a:tint val="81000"/>
            </a:schemeClr>
          </a:gs>
        </a:gsLst>
        <a:lin ang="5400000" scaled="0"/>
      </a:gradFill>
      <a:gradFill rotWithShape="1">
        <a:gsLst>
          <a:gs pos="0">
            <a:schemeClr val="phClr">
              <a:satMod val="103000"/>
              <a:lumMod val="102000"/>
              <a:tint val="94000"/>
            </a:schemeClr>
          </a:gs>
          <a:gs pos="50000">
            <a:schemeClr val="phClr">
              <a:satMod val="110000"/>
              <a:lumMod val="100000"/>
              <a:shade val="100000"/>
            </a:schemeClr>
          </a:gs>
          <a:gs pos="100000">
            <a:schemeClr val="phClr">
              <a:lumMod val="99000"/>
              <a:satMod val="120000"/>
              <a:shade val="78000"/>
            </a:schemeClr>
          </a:gs>
        </a:gsLst>
        <a:lin ang="5400000" scaled="0"/>
      </a:gradFill>
    </a:fillStyleLst>
    <a:lnStyleLst>
      <a:ln w="6350" cap="flat" cmpd="sng" algn="ctr">
        <a:solidFill>
          <a:schemeClr val="phClr"/>
        </a:solidFill>
        <a:prstDash val="solid"/>
        <a:miter lim="800000"/>
      </a:ln>
      <a:ln w="12700" cap="flat" cmpd="sng" algn="ctr">
        <a:solidFill>
          <a:schemeClr val="phClr"/>
        </a:solidFill>
        <a:prstDash val="solid"/>
        <a:miter lim="800000"/>
      </a:ln>
      <a:ln w="19050" cap="flat" cmpd="sng" algn="ctr">
        <a:solidFill>
          <a:schemeClr val="phClr"/>
        </a:solidFill>
        <a:prstDash val="solid"/>
        <a:miter lim="800000"/>
      </a:ln>
    </a:lnStyleLst>
    <a:effectStyleLst>
      <a:effectStyle>
        <a:effectLst/>
      </a:effectStyle>
      <a:effectStyle>
        <a:effectLst/>
      </a:effectStyle>
      <a:effectStyle>
        <a:effectLst>
          <a:outerShdw blurRad="57150" dist="19050" dir="5400000" algn="ctr" rotWithShape="0">
            <a:srgbClr val="000000">
              <a:alpha val="63000"/>
            </a:srgbClr>
          </a:outerShdw>
        </a:effectLst>
      </a:effectStyle>
    </a:effectStyleLst>
    <a:bgFillStyleLst>
      <a:solidFill>
        <a:schemeClr val="phClr"/>
      </a:solidFill>
      <a:solidFill>
        <a:schemeClr val="phClr">
          <a:tint val="95000"/>
          <a:satMod val="170000"/>
        </a:schemeClr>
      </a:solidFill>
      <a:gradFill rotWithShape="1">
        <a:gsLst>
          <a:gs pos="0">
            <a:schemeClr val="phClr">
              <a:tint val="93000"/>
              <a:satMod val="150000"/>
              <a:shade val="98000"/>
              <a:lumMod val="102000"/>
            </a:schemeClr>
          </a:gs>
          <a:gs pos="50000">
            <a:schemeClr val="phClr">
              <a:tint val="98000"/>
              <a:satMod val="130000"/>
              <a:shade val="90000"/>
              <a:lumMod val="103000"/>
            </a:schemeClr>
          </a:gs>
          <a:gs pos="100000">
            <a:schemeClr val="phClr">
              <a:shade val="63000"/>
              <a:satMod val="120000"/>
            </a:schemeClr>
          </a:gs>
        </a:gsLst>
        <a:lin ang="5400000" scaled="0"/>
      </a:gradFill>
    </a:bgFillStyleLst>
  </a:fmtScheme>
</a:themeOverrid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13</Pages>
  <Words>4210</Words>
  <Characters>4452</Characters>
  <Lines>0</Lines>
  <Paragraphs>0</Paragraphs>
  <TotalTime>22</TotalTime>
  <ScaleCrop>false</ScaleCrop>
  <LinksUpToDate>false</LinksUpToDate>
  <CharactersWithSpaces>4470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2024-05-22T22:39:00Z</dcterms:created>
  <dc:creator>dell</dc:creator>
  <cp:lastModifiedBy>李瑞</cp:lastModifiedBy>
  <dcterms:modified xsi:type="dcterms:W3CDTF">2024-06-08T08:35:50Z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AA6161384DF4417F82CE6AEF8ABCBB2E_11</vt:lpwstr>
  </property>
</Properties>
</file>