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岳阳市君山区水利局</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lang w:val="en-US" w:eastAsia="zh-CN"/>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Theme="minorEastAsia" w:hAnsiTheme="minorEastAsia" w:eastAsiaTheme="minorEastAsia" w:cstheme="minorEastAsia"/>
          <w:sz w:val="28"/>
          <w:szCs w:val="28"/>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heme="minorEastAsia" w:hAnsiTheme="minorEastAsia" w:eastAsiaTheme="minorEastAsia" w:cstheme="minorEastAsia"/>
          <w:b/>
          <w:bCs/>
          <w:sz w:val="28"/>
          <w:szCs w:val="28"/>
        </w:rPr>
      </w:pPr>
      <w:r>
        <w:rPr>
          <w:rFonts w:hint="eastAsia" w:ascii="Times New Roman" w:hAnsi="Times New Roman" w:eastAsia="方正小标宋_GBK" w:cs="Times New Roman"/>
          <w:b/>
          <w:bCs/>
          <w:kern w:val="0"/>
          <w:sz w:val="36"/>
          <w:szCs w:val="36"/>
        </w:rPr>
        <w:t>第一部分 部门预算公开说明</w:t>
      </w:r>
    </w:p>
    <w:p>
      <w:pPr>
        <w:ind w:firstLine="643" w:firstLineChars="200"/>
        <w:rPr>
          <w:rFonts w:hint="eastAsia" w:ascii="Times New Roman" w:hAnsi="Times New Roman" w:eastAsia="黑体" w:cs="Times New Roman"/>
          <w:b/>
          <w:bCs/>
          <w:kern w:val="0"/>
          <w:sz w:val="32"/>
          <w:szCs w:val="32"/>
        </w:rPr>
      </w:pP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（一）职能职责</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1、负责保障全区水资源合理开发和利用。</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2、负责生活、生产经营和生态环境用水的统筹兼顾和保障。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3、按规定制定水利工程建设和运行管理有关制度并组织实施，负责提出水利固定资产投资规模、方向、具体安排建议并组织指导实施，按区人民政府规定权限审批、核准规划内和年度计划规模内固定资产投资项目，提出水利资金安排建议并负责项目实施的监督管理。</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4、指导水资源的保护工作。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5、负责节约用水工作。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6、按规定组织开展水资源调查评价和水资源承载能力监测预警工作。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7、组织指导水利工程设施、水域、滩涂及其岸线的管理、保护与综合利用；组织指导江河、湖泊、水库及河口的安全监管；负责长江岸线和河势控制工程运行管理；负责河道、堤防、湖州滩涂管理工作；指导河湖水生态保护与修复、河湖生态流量水量管理及河湖水系连通工作；承担河（湖）长制组织实施具体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8、组织指导水利工程建设与运行管理。</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9、负责水土保持工作。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10、指导全区农村水利工作。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11、负责全区水利固定资产监管工作，对水利资金的使用进行监督；负责水利经济和生态水利建设与管理工作。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12、负责落实综合防灾减灾规划相关要求，指导编制洪水干旱灾害防治回话和防护标准并指导实施；组织编制洪水干旱灾害防治规划和防护标准并指导实施；组织编制重要江河湖泊和重要水工程的防御洪水抗御旱灾调度及应急水量调度方案，按程序报批并组织实施；承担防御洪水应急抢险的技术支撑工作；承担台风防御期间重要水工程调度工作。</w:t>
      </w:r>
    </w:p>
    <w:p>
      <w:pPr>
        <w:spacing w:line="600" w:lineRule="exact"/>
        <w:ind w:firstLine="660"/>
        <w:rPr>
          <w:rFonts w:ascii="仿宋_GB2312" w:eastAsia="仿宋_GB2312"/>
          <w:sz w:val="32"/>
          <w:szCs w:val="32"/>
        </w:rPr>
      </w:pPr>
      <w:r>
        <w:rPr>
          <w:rFonts w:hint="eastAsia" w:ascii="仿宋_GB2312" w:eastAsia="仿宋_GB2312"/>
          <w:sz w:val="32"/>
          <w:szCs w:val="32"/>
        </w:rPr>
        <w:t>13、负责全区水利系统的科技教育和对外合作工作及水利统计信息工作；负责机关和所属单位的党群、人事劳资、机构编制、计划生育等工作；负责全区水利行业队伍建设。</w:t>
      </w:r>
    </w:p>
    <w:p>
      <w:pPr>
        <w:spacing w:line="600" w:lineRule="exact"/>
        <w:ind w:firstLine="660"/>
        <w:rPr>
          <w:rFonts w:ascii="仿宋_GB2312" w:eastAsia="仿宋_GB2312"/>
          <w:sz w:val="32"/>
          <w:szCs w:val="32"/>
        </w:rPr>
      </w:pPr>
      <w:r>
        <w:rPr>
          <w:rFonts w:hint="eastAsia" w:ascii="仿宋_GB2312" w:eastAsia="仿宋_GB2312"/>
          <w:sz w:val="32"/>
          <w:szCs w:val="32"/>
        </w:rPr>
        <w:t>14、负责水库移民管理工作。</w:t>
      </w:r>
    </w:p>
    <w:p>
      <w:pPr>
        <w:spacing w:line="600" w:lineRule="exact"/>
        <w:ind w:firstLine="660"/>
        <w:rPr>
          <w:rFonts w:ascii="仿宋_GB2312" w:eastAsia="仿宋_GB2312"/>
          <w:sz w:val="32"/>
          <w:szCs w:val="32"/>
        </w:rPr>
      </w:pPr>
      <w:r>
        <w:rPr>
          <w:rFonts w:hint="eastAsia" w:ascii="仿宋_GB2312" w:eastAsia="仿宋_GB2312"/>
          <w:sz w:val="32"/>
          <w:szCs w:val="32"/>
        </w:rPr>
        <w:t>15、完成区委、区政府交办的其他任务。</w:t>
      </w:r>
    </w:p>
    <w:p>
      <w:pPr>
        <w:spacing w:line="600" w:lineRule="exact"/>
        <w:ind w:firstLine="660"/>
        <w:rPr>
          <w:color w:val="000000"/>
          <w:sz w:val="32"/>
        </w:rPr>
      </w:pPr>
      <w:r>
        <w:rPr>
          <w:rFonts w:hint="eastAsia" w:ascii="仿宋_GB2312" w:eastAsia="仿宋_GB2312"/>
          <w:sz w:val="32"/>
          <w:szCs w:val="32"/>
        </w:rPr>
        <w:t>16、职能转变。</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（二）机构设置</w:t>
      </w:r>
    </w:p>
    <w:p>
      <w:pPr>
        <w:spacing w:line="600" w:lineRule="exact"/>
        <w:ind w:firstLine="640" w:firstLineChars="200"/>
        <w:rPr>
          <w:rFonts w:ascii="仿宋_GB2312" w:eastAsia="仿宋_GB2312"/>
          <w:sz w:val="32"/>
          <w:szCs w:val="32"/>
        </w:rPr>
      </w:pPr>
      <w:r>
        <w:rPr>
          <w:rFonts w:hint="eastAsia" w:ascii="仿宋_GB2312" w:eastAsia="仿宋_GB2312"/>
          <w:sz w:val="32"/>
          <w:szCs w:val="32"/>
          <w:lang w:eastAsia="zh-CN"/>
        </w:rPr>
        <w:t>岳阳市君山区水利局内设机构共</w:t>
      </w:r>
      <w:r>
        <w:rPr>
          <w:rFonts w:hint="eastAsia" w:ascii="仿宋_GB2312" w:eastAsia="仿宋_GB2312"/>
          <w:sz w:val="32"/>
          <w:szCs w:val="32"/>
          <w:lang w:val="en-US" w:eastAsia="zh-CN"/>
        </w:rPr>
        <w:t>8个，分别为：</w:t>
      </w:r>
      <w:r>
        <w:rPr>
          <w:rFonts w:hint="eastAsia" w:ascii="仿宋_GB2312" w:eastAsia="仿宋_GB2312"/>
          <w:sz w:val="32"/>
          <w:szCs w:val="32"/>
        </w:rPr>
        <w:t>1、办公室（政策法规股）</w:t>
      </w:r>
      <w:r>
        <w:rPr>
          <w:rFonts w:hint="eastAsia" w:ascii="仿宋_GB2312" w:eastAsia="仿宋_GB2312"/>
          <w:sz w:val="32"/>
          <w:szCs w:val="32"/>
          <w:lang w:eastAsia="zh-CN"/>
        </w:rPr>
        <w:t>，</w:t>
      </w:r>
      <w:r>
        <w:rPr>
          <w:rFonts w:hint="eastAsia" w:ascii="仿宋_GB2312" w:eastAsia="仿宋_GB2312"/>
          <w:sz w:val="32"/>
          <w:szCs w:val="32"/>
        </w:rPr>
        <w:t>2、规划计划与设计</w:t>
      </w:r>
      <w:r>
        <w:rPr>
          <w:rFonts w:hint="eastAsia" w:ascii="仿宋_GB2312" w:eastAsia="仿宋_GB2312"/>
          <w:sz w:val="32"/>
          <w:szCs w:val="32"/>
          <w:lang w:eastAsia="zh-CN"/>
        </w:rPr>
        <w:t>，</w:t>
      </w:r>
      <w:r>
        <w:rPr>
          <w:rFonts w:hint="eastAsia" w:ascii="仿宋_GB2312" w:eastAsia="仿宋_GB2312"/>
          <w:sz w:val="32"/>
          <w:szCs w:val="32"/>
        </w:rPr>
        <w:t>3、机电排灌股</w:t>
      </w:r>
      <w:r>
        <w:rPr>
          <w:rFonts w:hint="eastAsia" w:ascii="仿宋_GB2312" w:eastAsia="仿宋_GB2312"/>
          <w:sz w:val="32"/>
          <w:szCs w:val="32"/>
          <w:lang w:eastAsia="zh-CN"/>
        </w:rPr>
        <w:t>，</w:t>
      </w:r>
      <w:r>
        <w:rPr>
          <w:rFonts w:hint="eastAsia" w:ascii="仿宋_GB2312" w:eastAsia="仿宋_GB2312"/>
          <w:sz w:val="32"/>
          <w:szCs w:val="32"/>
        </w:rPr>
        <w:t>4、水库移民股</w:t>
      </w:r>
      <w:r>
        <w:rPr>
          <w:rFonts w:hint="eastAsia" w:ascii="仿宋_GB2312" w:eastAsia="仿宋_GB2312"/>
          <w:sz w:val="32"/>
          <w:szCs w:val="32"/>
          <w:lang w:eastAsia="zh-CN"/>
        </w:rPr>
        <w:t>，</w:t>
      </w:r>
      <w:r>
        <w:rPr>
          <w:rFonts w:hint="eastAsia" w:ascii="仿宋_GB2312" w:eastAsia="仿宋_GB2312"/>
          <w:sz w:val="32"/>
          <w:szCs w:val="32"/>
        </w:rPr>
        <w:t>5、河湖堤防管理和工程股（加挂区河长制工作办公室牌子）</w:t>
      </w:r>
      <w:r>
        <w:rPr>
          <w:rFonts w:hint="eastAsia" w:ascii="仿宋_GB2312" w:eastAsia="仿宋_GB2312"/>
          <w:sz w:val="32"/>
          <w:szCs w:val="32"/>
          <w:lang w:eastAsia="zh-CN"/>
        </w:rPr>
        <w:t>，</w:t>
      </w:r>
      <w:r>
        <w:rPr>
          <w:rFonts w:hint="eastAsia" w:ascii="仿宋_GB2312" w:eastAsia="仿宋_GB2312"/>
          <w:sz w:val="32"/>
          <w:szCs w:val="32"/>
        </w:rPr>
        <w:t>6、财务股</w:t>
      </w:r>
      <w:r>
        <w:rPr>
          <w:rFonts w:hint="eastAsia" w:ascii="仿宋_GB2312" w:eastAsia="仿宋_GB2312"/>
          <w:sz w:val="32"/>
          <w:szCs w:val="32"/>
          <w:lang w:eastAsia="zh-CN"/>
        </w:rPr>
        <w:t>，</w:t>
      </w:r>
      <w:r>
        <w:rPr>
          <w:rFonts w:hint="eastAsia" w:ascii="仿宋_GB2312" w:eastAsia="仿宋_GB2312"/>
          <w:sz w:val="32"/>
          <w:szCs w:val="32"/>
        </w:rPr>
        <w:t>7、党建办（政工人事股）</w:t>
      </w:r>
      <w:r>
        <w:rPr>
          <w:rFonts w:hint="eastAsia" w:ascii="仿宋_GB2312" w:eastAsia="仿宋_GB2312"/>
          <w:sz w:val="32"/>
          <w:szCs w:val="32"/>
          <w:lang w:eastAsia="zh-CN"/>
        </w:rPr>
        <w:t>，</w:t>
      </w:r>
      <w:r>
        <w:rPr>
          <w:rFonts w:hint="eastAsia" w:ascii="仿宋_GB2312" w:eastAsia="仿宋_GB2312"/>
          <w:sz w:val="32"/>
          <w:szCs w:val="32"/>
        </w:rPr>
        <w:t>8、水资源管理和水土保持股（行政审批股）</w:t>
      </w:r>
    </w:p>
    <w:p>
      <w:pPr>
        <w:ind w:firstLine="643" w:firstLineChars="200"/>
        <w:rPr>
          <w:rFonts w:hint="eastAsia" w:ascii="Times New Roman" w:hAnsi="Times New Roman" w:eastAsia="黑体" w:cs="Times New Roman"/>
          <w:b/>
          <w:bCs/>
          <w:kern w:val="0"/>
          <w:sz w:val="32"/>
          <w:szCs w:val="32"/>
          <w:highlight w:val="none"/>
        </w:rPr>
      </w:pPr>
      <w:r>
        <w:rPr>
          <w:rFonts w:hint="eastAsia" w:ascii="Times New Roman" w:hAnsi="Times New Roman" w:eastAsia="黑体" w:cs="Times New Roman"/>
          <w:b/>
          <w:bCs/>
          <w:kern w:val="0"/>
          <w:sz w:val="32"/>
          <w:szCs w:val="32"/>
          <w:highlight w:val="none"/>
        </w:rPr>
        <w:t>二、部门预算单位构成</w:t>
      </w:r>
    </w:p>
    <w:p>
      <w:pPr>
        <w:spacing w:line="600"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本部门预算为汇总预算，纳入2024年部门预算编制范围的预算单位包括：</w:t>
      </w:r>
    </w:p>
    <w:p>
      <w:pPr>
        <w:spacing w:line="600"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1、君山区水利局本级</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2</w:t>
      </w:r>
      <w:r>
        <w:rPr>
          <w:rFonts w:hint="eastAsia" w:ascii="仿宋_GB2312" w:eastAsia="仿宋_GB2312" w:cs="仿宋_GB2312"/>
          <w:sz w:val="32"/>
          <w:szCs w:val="32"/>
          <w:lang w:bidi="ar"/>
        </w:rPr>
        <w:t>、君山区君山垸水委会</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3</w:t>
      </w:r>
      <w:r>
        <w:rPr>
          <w:rFonts w:hint="eastAsia" w:ascii="仿宋_GB2312" w:eastAsia="仿宋_GB2312" w:cs="仿宋_GB2312"/>
          <w:sz w:val="32"/>
          <w:szCs w:val="32"/>
          <w:lang w:bidi="ar"/>
        </w:rPr>
        <w:t>、君山区建设垸水委会</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4</w:t>
      </w:r>
      <w:r>
        <w:rPr>
          <w:rFonts w:hint="eastAsia" w:ascii="仿宋_GB2312" w:eastAsia="仿宋_GB2312" w:cs="仿宋_GB2312"/>
          <w:sz w:val="32"/>
          <w:szCs w:val="32"/>
          <w:lang w:bidi="ar"/>
        </w:rPr>
        <w:t>、君山区钱南垸水委会</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5</w:t>
      </w:r>
      <w:r>
        <w:rPr>
          <w:rFonts w:hint="eastAsia" w:ascii="仿宋_GB2312" w:eastAsia="仿宋_GB2312" w:cs="仿宋_GB2312"/>
          <w:sz w:val="32"/>
          <w:szCs w:val="32"/>
          <w:lang w:bidi="ar"/>
        </w:rPr>
        <w:t>、君山区钱北垸水委会</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6</w:t>
      </w:r>
      <w:r>
        <w:rPr>
          <w:rFonts w:hint="eastAsia" w:ascii="仿宋_GB2312" w:eastAsia="仿宋_GB2312" w:cs="仿宋_GB2312"/>
          <w:sz w:val="32"/>
          <w:szCs w:val="32"/>
          <w:lang w:bidi="ar"/>
        </w:rPr>
        <w:t>、君山区君山垸电排总站</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7</w:t>
      </w:r>
      <w:r>
        <w:rPr>
          <w:rFonts w:hint="eastAsia" w:ascii="仿宋_GB2312" w:eastAsia="仿宋_GB2312" w:cs="仿宋_GB2312"/>
          <w:sz w:val="32"/>
          <w:szCs w:val="32"/>
          <w:lang w:bidi="ar"/>
        </w:rPr>
        <w:t>、君山区建设垸电排总站</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8</w:t>
      </w:r>
      <w:r>
        <w:rPr>
          <w:rFonts w:hint="eastAsia" w:ascii="仿宋_GB2312" w:eastAsia="仿宋_GB2312" w:cs="仿宋_GB2312"/>
          <w:sz w:val="32"/>
          <w:szCs w:val="32"/>
          <w:lang w:bidi="ar"/>
        </w:rPr>
        <w:t>、君山区钱粮湖垸电排总站</w:t>
      </w:r>
    </w:p>
    <w:p>
      <w:pPr>
        <w:spacing w:line="60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lang w:val="en-US" w:eastAsia="zh-CN" w:bidi="ar"/>
        </w:rPr>
        <w:t>9</w:t>
      </w:r>
      <w:r>
        <w:rPr>
          <w:rFonts w:hint="eastAsia" w:ascii="仿宋_GB2312" w:eastAsia="仿宋_GB2312" w:cs="仿宋_GB2312"/>
          <w:sz w:val="32"/>
          <w:szCs w:val="32"/>
          <w:lang w:bidi="ar"/>
        </w:rPr>
        <w:t>、君山区建设西垸水委会</w:t>
      </w:r>
    </w:p>
    <w:p>
      <w:pPr>
        <w:spacing w:line="600" w:lineRule="exact"/>
        <w:ind w:firstLine="640" w:firstLineChars="200"/>
        <w:rPr>
          <w:rFonts w:hint="eastAsia" w:ascii="仿宋_GB2312" w:eastAsia="仿宋_GB2312" w:cs="仿宋_GB2312"/>
          <w:sz w:val="32"/>
          <w:szCs w:val="32"/>
          <w:lang w:bidi="ar"/>
        </w:rPr>
      </w:pPr>
      <w:r>
        <w:rPr>
          <w:rFonts w:hint="eastAsia" w:ascii="仿宋_GB2312" w:eastAsia="仿宋_GB2312" w:cs="仿宋_GB2312"/>
          <w:sz w:val="32"/>
          <w:szCs w:val="32"/>
          <w:lang w:val="en-US" w:eastAsia="zh-CN" w:bidi="ar"/>
        </w:rPr>
        <w:t>10</w:t>
      </w:r>
      <w:r>
        <w:rPr>
          <w:rFonts w:hint="eastAsia" w:ascii="仿宋_GB2312" w:eastAsia="仿宋_GB2312" w:cs="仿宋_GB2312"/>
          <w:sz w:val="32"/>
          <w:szCs w:val="32"/>
          <w:lang w:bidi="ar"/>
        </w:rPr>
        <w:t>、君山区水利工程项目建设管理中心</w:t>
      </w:r>
    </w:p>
    <w:p>
      <w:pPr>
        <w:spacing w:line="600" w:lineRule="exact"/>
        <w:ind w:firstLine="640" w:firstLineChars="200"/>
        <w:rPr>
          <w:rFonts w:hint="default" w:ascii="仿宋_GB2312" w:eastAsia="仿宋_GB2312" w:cs="仿宋_GB2312"/>
          <w:sz w:val="32"/>
          <w:szCs w:val="32"/>
          <w:lang w:val="en-US" w:eastAsia="zh-CN" w:bidi="ar"/>
        </w:rPr>
      </w:pPr>
      <w:r>
        <w:rPr>
          <w:rFonts w:hint="eastAsia" w:ascii="仿宋_GB2312" w:eastAsia="仿宋_GB2312" w:cs="仿宋_GB2312"/>
          <w:sz w:val="32"/>
          <w:szCs w:val="32"/>
          <w:lang w:val="en-US" w:eastAsia="zh-CN" w:bidi="ar"/>
        </w:rPr>
        <w:t>11、君山区钱粮湖垸分洪闸管理所</w:t>
      </w:r>
    </w:p>
    <w:p>
      <w:pPr>
        <w:ind w:firstLine="643" w:firstLineChars="200"/>
        <w:rPr>
          <w:rFonts w:hint="eastAsia" w:ascii="Times New Roman" w:hAnsi="Times New Roman" w:eastAsia="黑体" w:cs="Times New Roman"/>
          <w:b/>
          <w:bCs/>
          <w:kern w:val="0"/>
          <w:sz w:val="32"/>
          <w:szCs w:val="32"/>
          <w:highlight w:val="none"/>
        </w:rPr>
      </w:pPr>
      <w:r>
        <w:rPr>
          <w:rFonts w:hint="eastAsia" w:ascii="Times New Roman" w:hAnsi="Times New Roman" w:eastAsia="黑体" w:cs="Times New Roman"/>
          <w:b/>
          <w:bCs/>
          <w:kern w:val="0"/>
          <w:sz w:val="32"/>
          <w:szCs w:val="32"/>
          <w:highlight w:val="none"/>
          <w:lang w:val="en-US" w:eastAsia="zh-CN"/>
        </w:rPr>
        <w:t>三、</w:t>
      </w:r>
      <w:r>
        <w:rPr>
          <w:rFonts w:hint="eastAsia" w:ascii="Times New Roman" w:hAnsi="Times New Roman" w:eastAsia="黑体" w:cs="Times New Roman"/>
          <w:b/>
          <w:bCs/>
          <w:kern w:val="0"/>
          <w:sz w:val="32"/>
          <w:szCs w:val="32"/>
          <w:highlight w:val="none"/>
        </w:rPr>
        <w:t>部门收支总体情况</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部门2024年没有政府性基金预算拨款、国有资本经营预算收入和纳入专户管理的非税收入拨款收入，也没有使用政府性基金预算拨款、国有资本经营预算收入和纳入专户管理的非税收入拨款安排的支出，所以部门预算公开表15、16、17、18、19表均为空。</w:t>
      </w: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收入预算：</w:t>
      </w:r>
      <w:r>
        <w:rPr>
          <w:rFonts w:hint="eastAsia" w:ascii="仿宋_GB2312" w:hAnsi="仿宋_GB2312" w:eastAsia="仿宋_GB2312" w:cs="仿宋_GB2312"/>
          <w:color w:val="000000"/>
          <w:sz w:val="32"/>
          <w:szCs w:val="32"/>
          <w:highlight w:val="none"/>
          <w:shd w:val="clear" w:color="auto" w:fill="FFFFFF"/>
          <w:lang w:val="en-US" w:eastAsia="zh-CN"/>
        </w:rPr>
        <w:t>包括一般公共预算、政府性基金、国有资本经营预算等财政拨款收入，以及经营收入、事业收入等单位资金。2024年本部门收入预算4020.18万元，其中，一般公共预算拨款4020.18万元，政府性基金预算资金0.00万元(所以部门预算公开表15-17表为空)，国有资本经营预算资金0.00万元(所以部门预算公开表18表为空)，财政专户管理资金0.00万元(所以部门预算公开表19表为空)，上</w:t>
      </w:r>
      <w:r>
        <w:rPr>
          <w:rFonts w:hint="eastAsia" w:ascii="仿宋_GB2312" w:hAnsi="仿宋_GB2312" w:eastAsia="仿宋_GB2312" w:cs="仿宋_GB2312"/>
          <w:color w:val="000000"/>
          <w:sz w:val="32"/>
          <w:szCs w:val="32"/>
          <w:shd w:val="clear" w:color="auto" w:fill="FFFFFF"/>
          <w:lang w:val="en-US" w:eastAsia="zh-CN"/>
        </w:rPr>
        <w:t>级补助收入资金0.00万元，事业单位经营收入资金0.00万元，上年结转结余0.00万元(数据来源见表2)。收入较去年减少463.66万元，下降10.34%。</w:t>
      </w:r>
      <w:r>
        <w:rPr>
          <w:rFonts w:hint="eastAsia" w:ascii="仿宋_GB2312" w:hAnsi="仿宋_GB2312" w:eastAsia="仿宋_GB2312" w:cs="仿宋_GB2312"/>
          <w:color w:val="000000"/>
          <w:kern w:val="2"/>
          <w:sz w:val="32"/>
          <w:szCs w:val="32"/>
          <w:shd w:val="clear" w:color="auto" w:fill="FFFFFF"/>
          <w:lang w:val="en-US" w:eastAsia="zh-CN" w:bidi="ar-SA"/>
        </w:rPr>
        <w:t>主要原因是党政机关带头过紧日子，勤俭办一切事业，建立节约型财政保障机制，不新增预算，严格控制机关事业单位的一般性支出。</w:t>
      </w:r>
    </w:p>
    <w:p>
      <w:pPr>
        <w:numPr>
          <w:ilvl w:val="0"/>
          <w:numId w:val="0"/>
        </w:numPr>
        <w:spacing w:line="570" w:lineRule="atLeast"/>
        <w:rPr>
          <w:rFonts w:hint="eastAsia" w:ascii="仿宋_GB2312" w:hAnsi="仿宋_GB2312" w:eastAsia="仿宋_GB2312" w:cs="仿宋_GB2312"/>
          <w:color w:val="000000"/>
          <w:sz w:val="32"/>
          <w:szCs w:val="32"/>
          <w:shd w:val="clear" w:color="auto" w:fill="FFFFFF"/>
          <w:lang w:val="en-US" w:eastAsia="zh-CN"/>
        </w:rPr>
      </w:pPr>
      <w:r>
        <w:rPr>
          <w:rFonts w:hint="eastAsia"/>
          <w:lang w:val="en-US" w:eastAsia="zh-CN"/>
        </w:rPr>
        <w:t xml:space="preserve">    </w:t>
      </w: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支出预算：</w:t>
      </w:r>
      <w:r>
        <w:rPr>
          <w:rFonts w:hint="eastAsia" w:ascii="仿宋_GB2312" w:hAnsi="仿宋_GB2312" w:eastAsia="仿宋_GB2312" w:cs="仿宋_GB2312"/>
          <w:color w:val="000000"/>
          <w:sz w:val="32"/>
          <w:szCs w:val="32"/>
          <w:shd w:val="clear" w:color="auto" w:fill="FFFFFF"/>
          <w:lang w:val="en-US" w:eastAsia="zh-CN"/>
        </w:rPr>
        <w:t>2024年本部门支出预算4020.18万元其中：农林水支出3047.02万元，社会保障和就业支出676.05万元，卫生健康支出117.63万元，住房保障支出179.48万元。支出较去年减少463.66万元，下降10.34%。</w:t>
      </w:r>
      <w:r>
        <w:rPr>
          <w:rFonts w:hint="eastAsia" w:ascii="仿宋_GB2312" w:hAnsi="仿宋_GB2312" w:eastAsia="仿宋_GB2312" w:cs="仿宋_GB2312"/>
          <w:color w:val="000000"/>
          <w:kern w:val="2"/>
          <w:sz w:val="32"/>
          <w:szCs w:val="32"/>
          <w:shd w:val="clear" w:color="auto" w:fill="FFFFFF"/>
          <w:lang w:val="en-US" w:eastAsia="zh-CN" w:bidi="ar-SA"/>
        </w:rPr>
        <w:t>主要原因是党政机关带头过紧日子，勤俭办一切事业，建立节约型财政保障机制，不新增预算，严格控制机关事业单位的一般性支出。</w:t>
      </w:r>
    </w:p>
    <w:p>
      <w:pPr>
        <w:numPr>
          <w:ilvl w:val="0"/>
          <w:numId w:val="0"/>
        </w:numPr>
        <w:spacing w:line="570" w:lineRule="atLeast"/>
        <w:rPr>
          <w:rFonts w:hint="eastAsia" w:ascii="仿宋_GB2312" w:hAnsi="仿宋_GB2312" w:eastAsia="仿宋_GB2312" w:cs="仿宋_GB2312"/>
          <w:color w:val="000000"/>
          <w:sz w:val="32"/>
          <w:szCs w:val="32"/>
          <w:shd w:val="clear" w:color="auto" w:fill="FFFFFF"/>
          <w:lang w:val="en-US" w:eastAsia="zh-CN"/>
        </w:rPr>
      </w:pPr>
      <w:r>
        <w:rPr>
          <w:rFonts w:hint="eastAsia"/>
          <w:lang w:val="en-US" w:eastAsia="zh-CN"/>
        </w:rPr>
        <w:t xml:space="preserve">      </w:t>
      </w:r>
      <w:r>
        <w:drawing>
          <wp:inline distT="0" distB="0" distL="114300" distR="114300">
            <wp:extent cx="4596765" cy="30010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本部门一般公共预算拨款支出4020.18万元，其中：农林水支出3047.02万元，占75.79%；社会保障和就业支出676.05万元，占16.82%；卫生健康支出117.63万元，占2.93%；住房保障支出179.48万元，占4.46%。具体安排情况如下：</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（一）基本支出：</w:t>
      </w:r>
      <w:r>
        <w:rPr>
          <w:rFonts w:hint="eastAsia" w:ascii="仿宋_GB2312" w:hAnsi="仿宋_GB2312" w:eastAsia="仿宋_GB2312" w:cs="仿宋_GB2312"/>
          <w:color w:val="000000"/>
          <w:sz w:val="32"/>
          <w:szCs w:val="32"/>
          <w:shd w:val="clear" w:color="auto" w:fill="FFFFFF"/>
          <w:lang w:val="en-US" w:eastAsia="zh-CN"/>
        </w:rPr>
        <w:t>2024年本部门基本支出预算数2672.48万元，主要是为保障部门正常运转、完成日常工作任务而发生的各项支出，包括用于基本工资、津贴补贴等人员经费以及办公费、印刷费、水电费、办公设备购置等公用经费。</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（二）项目支出：</w:t>
      </w:r>
      <w:r>
        <w:rPr>
          <w:rFonts w:hint="eastAsia" w:ascii="仿宋_GB2312" w:hAnsi="仿宋_GB2312" w:eastAsia="仿宋_GB2312" w:cs="仿宋_GB2312"/>
          <w:color w:val="000000"/>
          <w:sz w:val="32"/>
          <w:szCs w:val="32"/>
          <w:shd w:val="clear" w:color="auto" w:fill="FFFFFF"/>
          <w:lang w:val="en-US" w:eastAsia="zh-CN"/>
        </w:rPr>
        <w:t>2024年本部门项目支出预算1347.7万元，主要是本部门为完成特定工作任务或事业发展目标而发生的支出，包括有关事业发展专项、专项业务费、基本建设支出等，其中：农林水支出1347.7万元，</w:t>
      </w:r>
      <w:r>
        <w:rPr>
          <w:rFonts w:hint="eastAsia" w:eastAsia="仿宋_GB2312"/>
          <w:sz w:val="32"/>
          <w:szCs w:val="32"/>
        </w:rPr>
        <w:t>主要用于水事调度，应急水量调度；雨情、水</w:t>
      </w:r>
      <w:r>
        <w:rPr>
          <w:rFonts w:hint="eastAsia" w:eastAsia="仿宋_GB2312"/>
          <w:sz w:val="32"/>
          <w:szCs w:val="32"/>
          <w:lang w:eastAsia="zh-CN"/>
        </w:rPr>
        <w:t>情</w:t>
      </w:r>
      <w:r>
        <w:rPr>
          <w:rFonts w:hint="eastAsia" w:eastAsia="仿宋_GB2312"/>
          <w:sz w:val="32"/>
          <w:szCs w:val="32"/>
        </w:rPr>
        <w:t>、旱情、工情、汛情科学检测预警。水旱灾害防御器材管理等方面等方面；水事调度，应急水量调度；雨情、水清、旱情、工情、汛情科学检测预警。水旱灾害防御器材管理等方面等方面</w:t>
      </w:r>
      <w:r>
        <w:rPr>
          <w:rFonts w:hint="eastAsia" w:ascii="仿宋_GB2312" w:hAnsi="仿宋_GB2312" w:eastAsia="仿宋_GB2312" w:cs="仿宋_GB2312"/>
          <w:color w:val="000000"/>
          <w:sz w:val="32"/>
          <w:szCs w:val="32"/>
          <w:shd w:val="clear" w:color="auto" w:fill="FFFFFF"/>
          <w:lang w:val="en-US" w:eastAsia="zh-CN"/>
        </w:rPr>
        <w:t>。</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2024年度本部门无政府性基金安排的支出，所以公开的附件15-17表（政府性基金预算）为空。</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（一）机关运行经费：</w:t>
      </w:r>
      <w:r>
        <w:rPr>
          <w:rFonts w:hint="eastAsia" w:eastAsia="仿宋_GB2312"/>
          <w:sz w:val="32"/>
          <w:szCs w:val="32"/>
        </w:rPr>
        <w:t>202</w:t>
      </w:r>
      <w:r>
        <w:rPr>
          <w:rFonts w:hint="eastAsia" w:eastAsia="仿宋_GB2312"/>
          <w:sz w:val="32"/>
          <w:szCs w:val="32"/>
          <w:lang w:val="en-US" w:eastAsia="zh-CN"/>
        </w:rPr>
        <w:t>4</w:t>
      </w:r>
      <w:r>
        <w:rPr>
          <w:rFonts w:eastAsia="仿宋_GB2312"/>
          <w:sz w:val="32"/>
          <w:szCs w:val="32"/>
        </w:rPr>
        <w:t>年本单</w:t>
      </w:r>
      <w:r>
        <w:rPr>
          <w:rFonts w:hint="eastAsia" w:ascii="仿宋_GB2312" w:hAnsi="仿宋_GB2312" w:eastAsia="仿宋_GB2312" w:cs="仿宋_GB2312"/>
          <w:color w:val="000000"/>
          <w:sz w:val="32"/>
          <w:szCs w:val="32"/>
          <w:shd w:val="clear" w:color="auto" w:fill="FFFFFF"/>
          <w:lang w:val="en-US" w:eastAsia="zh-CN"/>
        </w:rPr>
        <w:t>位本级及10家二级行政事业单位共11家汇总的机关运行经费204.59万元，比上年预算减少71.51万元，下降25.9%，主要原因有2024年有部分人员退休减少了在职人员导致机关运行经费预算较上年减少。</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（二）“三公”经费预算：</w:t>
      </w:r>
      <w:r>
        <w:rPr>
          <w:rFonts w:hint="eastAsia" w:eastAsia="仿宋_GB2312"/>
          <w:sz w:val="32"/>
          <w:szCs w:val="32"/>
        </w:rPr>
        <w:t>202</w:t>
      </w:r>
      <w:r>
        <w:rPr>
          <w:rFonts w:hint="eastAsia" w:eastAsia="仿宋_GB2312"/>
          <w:sz w:val="32"/>
          <w:szCs w:val="32"/>
          <w:lang w:val="en-US" w:eastAsia="zh-CN"/>
        </w:rPr>
        <w:t>4</w:t>
      </w:r>
      <w:r>
        <w:rPr>
          <w:rFonts w:eastAsia="仿宋_GB2312"/>
          <w:sz w:val="32"/>
          <w:szCs w:val="32"/>
        </w:rPr>
        <w:t>年本单</w:t>
      </w:r>
      <w:r>
        <w:rPr>
          <w:rFonts w:hint="eastAsia" w:ascii="仿宋_GB2312" w:hAnsi="仿宋_GB2312" w:eastAsia="仿宋_GB2312" w:cs="仿宋_GB2312"/>
          <w:color w:val="000000"/>
          <w:sz w:val="32"/>
          <w:szCs w:val="32"/>
          <w:shd w:val="clear" w:color="auto" w:fill="FFFFFF"/>
          <w:lang w:val="en-US" w:eastAsia="zh-CN"/>
        </w:rPr>
        <w:t>位本级及10家二级行政事业单位共11家汇总的“三公”经费预算数为5.6万元，其中，公务接待费5.6万元，公务用车购置及运行费0万元（其中，公务用车购置费0万元，公务用车运行费0万元），因公出国（境）费0万元。2024年“三公”经费预算较2023年减少12.4万元，主要原因是严格落实中央“八项规定”精神和“过紧日子”的要求，从严控制“三公”经费支出。</w:t>
      </w:r>
      <w:bookmarkStart w:id="0" w:name="DIS_MARK_IS_ZERO_06_2"/>
      <w:bookmarkEnd w:id="0"/>
      <w:bookmarkStart w:id="1" w:name="END_IS_ZERO_06_2"/>
      <w:bookmarkEnd w:id="1"/>
      <w:bookmarkStart w:id="2" w:name="END_IS_ZERO_06_1"/>
      <w:bookmarkEnd w:id="2"/>
      <w:bookmarkStart w:id="3" w:name="START_IS_ZERO_06_2"/>
      <w:bookmarkEnd w:id="3"/>
    </w:p>
    <w:p>
      <w:pPr>
        <w:widowControl/>
        <w:spacing w:line="600" w:lineRule="exact"/>
        <w:ind w:firstLine="66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（三）一般性支出情况：</w:t>
      </w:r>
      <w:r>
        <w:rPr>
          <w:rFonts w:hint="eastAsia" w:ascii="仿宋_GB2312" w:hAnsi="仿宋_GB2312" w:eastAsia="仿宋_GB2312" w:cs="仿宋_GB2312"/>
          <w:color w:val="000000"/>
          <w:sz w:val="32"/>
          <w:szCs w:val="32"/>
          <w:shd w:val="clear" w:color="auto" w:fill="FFFFFF"/>
          <w:lang w:val="en-US" w:eastAsia="zh-CN"/>
        </w:rPr>
        <w:t>2024年本部门会议费预算2万元，拟召开3次会议，人数450人；主要用于召开河长制工作会议和水资源管理工作会议。培训费预算1.3万元，拟开展7次培训，人数130人；主要用于局机关下设职能部门以及局属二级单位应培训单位文件要求所支付的培训学习费用。培训金额、地点、时间等内容一般按照文件规定执行，内容涉及河长制工作管理、水利项目建设管理、防汛抗旱工作等多个方面。未计划举办节庆、晚会、论坛、赛事活动，经费预算0 万元。</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（四）政府采购情况：</w:t>
      </w:r>
      <w:r>
        <w:rPr>
          <w:rFonts w:hint="eastAsia" w:ascii="仿宋_GB2312" w:hAnsi="仿宋_GB2312" w:eastAsia="仿宋_GB2312" w:cs="仿宋_GB2312"/>
          <w:color w:val="000000"/>
          <w:sz w:val="32"/>
          <w:szCs w:val="32"/>
          <w:shd w:val="clear" w:color="auto" w:fill="FFFFFF"/>
          <w:lang w:val="en-US" w:eastAsia="zh-CN"/>
        </w:rPr>
        <w:t>2024年本部门政府采购预算总额657.8万元，其中，货物类采购预算103.5万元；工程类采购预算215.7万元；服务类采购预算338.6万元。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sz w:val="32"/>
          <w:szCs w:val="32"/>
          <w:shd w:val="clear" w:color="auto" w:fill="FFFFFF"/>
          <w:lang w:val="en-US" w:eastAsia="zh-CN"/>
        </w:rPr>
        <w:t>（五）国有资产占用使用及新增资产配置情况：</w:t>
      </w:r>
      <w:r>
        <w:rPr>
          <w:rFonts w:hint="eastAsia" w:ascii="仿宋_GB2312" w:hAnsi="仿宋_GB2312" w:eastAsia="仿宋_GB2312" w:cs="仿宋_GB2312"/>
          <w:color w:val="000000"/>
          <w:kern w:val="2"/>
          <w:sz w:val="32"/>
          <w:szCs w:val="32"/>
          <w:shd w:val="clear" w:color="auto" w:fill="FFFFFF"/>
          <w:lang w:val="en-US" w:eastAsia="zh-CN" w:bidi="ar-SA"/>
        </w:rPr>
        <w:t>截至2023年12月底，本单位共有公务用车0辆，其中，机要通信用车0辆，应急保障用车0辆，执法执勤用车0辆，特种专业技术用车0辆，其他按照规定配备的公务用车0辆；单位价值50万元以上设备0台，其中，单位价值100万元以上设备0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firstLine="640" w:firstLineChars="200"/>
        <w:jc w:val="both"/>
        <w:textAlignment w:val="center"/>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2024年拟新增配置公务用车0辆，其中，机要通信用车0辆，应急保障用车0辆，执法执勤用</w:t>
      </w:r>
      <w:r>
        <w:rPr>
          <w:rFonts w:hint="eastAsia" w:ascii="仿宋_GB2312" w:hAnsi="仿宋_GB2312" w:eastAsia="仿宋_GB2312" w:cs="仿宋_GB2312"/>
          <w:color w:val="000000"/>
          <w:kern w:val="2"/>
          <w:sz w:val="32"/>
          <w:szCs w:val="32"/>
          <w:highlight w:val="none"/>
          <w:shd w:val="clear" w:color="auto" w:fill="FFFFFF"/>
          <w:lang w:val="en-US" w:eastAsia="zh-CN" w:bidi="ar-SA"/>
        </w:rPr>
        <w:t>车0辆，特种专业技术用车0辆，其他按照规定配备的公务用车0辆；新增配备单位价值50万元以上设备0台，其中，单位价值100万元以上设备0台。</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（六）预算绩效目标说明：</w:t>
      </w:r>
      <w:r>
        <w:rPr>
          <w:rFonts w:hint="eastAsia" w:ascii="仿宋_GB2312" w:hAnsi="仿宋_GB2312" w:eastAsia="仿宋_GB2312" w:cs="仿宋_GB2312"/>
          <w:color w:val="000000"/>
          <w:sz w:val="32"/>
          <w:szCs w:val="32"/>
          <w:shd w:val="clear" w:color="auto" w:fill="FFFFFF"/>
          <w:lang w:val="en-US" w:eastAsia="zh-CN"/>
        </w:rPr>
        <w:t>本部门所有支出实行绩效目标管理。纳入2024年部门整体支出绩效目标的金额为4020.18万元，其中，基本支出2672.48万元，项目支出1347.7万元，具体绩效目标详见文尾附表中部门预算公开表21-2</w:t>
      </w:r>
      <w:r>
        <w:rPr>
          <w:rFonts w:hint="eastAsia" w:ascii="仿宋_GB2312" w:hAnsi="仿宋_GB2312" w:eastAsia="仿宋_GB2312" w:cs="仿宋_GB2312"/>
          <w:color w:val="000000"/>
          <w:sz w:val="32"/>
          <w:szCs w:val="32"/>
          <w:highlight w:val="none"/>
          <w:shd w:val="clear" w:color="auto" w:fill="FFFFFF"/>
          <w:lang w:val="en-US" w:eastAsia="zh-CN"/>
        </w:rPr>
        <w:t>2表</w:t>
      </w:r>
      <w:r>
        <w:rPr>
          <w:rFonts w:hint="eastAsia" w:ascii="仿宋_GB2312" w:hAnsi="仿宋_GB2312" w:eastAsia="仿宋_GB2312" w:cs="仿宋_GB2312"/>
          <w:color w:val="000000"/>
          <w:sz w:val="32"/>
          <w:szCs w:val="32"/>
          <w:shd w:val="clear" w:color="auto" w:fill="FFFFFF"/>
          <w:lang w:val="en-US" w:eastAsia="zh-CN"/>
        </w:rPr>
        <w:t>。</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1．机关运行经费：</w:t>
      </w:r>
      <w:r>
        <w:rPr>
          <w:rFonts w:hint="eastAsia" w:ascii="仿宋_GB2312" w:hAnsi="仿宋_GB2312" w:eastAsia="仿宋_GB2312" w:cs="仿宋_GB2312"/>
          <w:color w:val="000000"/>
          <w:sz w:val="32"/>
          <w:szCs w:val="32"/>
          <w:shd w:val="clear" w:color="auto" w:fill="FFFFFF"/>
          <w:lang w:val="en-US" w:eastAsia="zh-CN"/>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spacing w:line="570" w:lineRule="atLeast"/>
        <w:ind w:firstLine="643" w:firstLineChars="200"/>
        <w:rPr>
          <w:rFonts w:hint="eastAsia" w:asciiTheme="minorEastAsia" w:hAnsiTheme="minorEastAsia" w:eastAsiaTheme="minorEastAsia" w:cstheme="minorEastAsia"/>
          <w:sz w:val="28"/>
          <w:szCs w:val="28"/>
        </w:rPr>
      </w:pPr>
      <w:r>
        <w:rPr>
          <w:rFonts w:hint="eastAsia" w:ascii="仿宋_GB2312" w:hAnsi="仿宋_GB2312" w:eastAsia="仿宋_GB2312" w:cs="仿宋_GB2312"/>
          <w:b/>
          <w:bCs/>
          <w:color w:val="000000"/>
          <w:sz w:val="32"/>
          <w:szCs w:val="32"/>
          <w:shd w:val="clear" w:color="auto" w:fill="FFFFFF"/>
          <w:lang w:val="en-US" w:eastAsia="zh-CN"/>
        </w:rPr>
        <w:t>2．“三公”经费：</w:t>
      </w:r>
      <w:r>
        <w:rPr>
          <w:rFonts w:hint="eastAsia" w:ascii="仿宋_GB2312" w:hAnsi="仿宋_GB2312" w:eastAsia="仿宋_GB2312" w:cs="仿宋_GB2312"/>
          <w:color w:val="000000"/>
          <w:sz w:val="32"/>
          <w:szCs w:val="32"/>
          <w:shd w:val="clear" w:color="auto" w:fill="FFFFFF"/>
          <w:lang w:val="en-US" w:eastAsia="zh-CN"/>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bookmarkStart w:id="4" w:name="_GoBack"/>
      <w:bookmarkEnd w:id="4"/>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Theme="minorEastAsia" w:hAnsiTheme="minorEastAsia" w:eastAsiaTheme="minorEastAsia" w:cstheme="minorEastAsia"/>
          <w:sz w:val="28"/>
          <w:szCs w:val="28"/>
        </w:rPr>
      </w:pPr>
      <w:r>
        <w:rPr>
          <w:rFonts w:hint="eastAsia" w:ascii="方正小标宋简体" w:hAnsi="Times New Roman" w:eastAsia="方正小标宋简体" w:cs="Times New Roman"/>
          <w:b/>
          <w:bCs/>
          <w:kern w:val="0"/>
          <w:sz w:val="36"/>
          <w:szCs w:val="36"/>
          <w:lang w:val="en-US" w:eastAsia="zh-CN" w:bidi="ar-SA"/>
        </w:rPr>
        <w:t>第二部分  2024年部门预算公开表格</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附件：岳阳市君山区水利局2024年部门预算公开表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both"/>
        <w:textAlignment w:val="center"/>
        <w:rPr>
          <w:rFonts w:hint="eastAsia" w:asciiTheme="minorEastAsia" w:hAnsiTheme="minorEastAsia" w:eastAsiaTheme="minorEastAsia" w:cstheme="minorEastAsia"/>
          <w:b/>
          <w:bCs/>
          <w:i w:val="0"/>
          <w:iCs w:val="0"/>
          <w:caps w:val="0"/>
          <w:color w:val="333333"/>
          <w:spacing w:val="0"/>
          <w:sz w:val="28"/>
          <w:szCs w:val="28"/>
          <w:shd w:val="clear"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50E854"/>
    <w:multiLevelType w:val="singleLevel"/>
    <w:tmpl w:val="A250E85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4OWI1YTBjMDVmMmNiM2E1MjU2ZTkzMDY0OTdlNjQifQ=="/>
  </w:docVars>
  <w:rsids>
    <w:rsidRoot w:val="637274E6"/>
    <w:rsid w:val="010D1261"/>
    <w:rsid w:val="03E47515"/>
    <w:rsid w:val="05965E53"/>
    <w:rsid w:val="05974297"/>
    <w:rsid w:val="066547B5"/>
    <w:rsid w:val="0794481D"/>
    <w:rsid w:val="08B97B9F"/>
    <w:rsid w:val="0BC81D71"/>
    <w:rsid w:val="0BD240F7"/>
    <w:rsid w:val="0C923A83"/>
    <w:rsid w:val="0E5B42C5"/>
    <w:rsid w:val="112B4160"/>
    <w:rsid w:val="11A2545A"/>
    <w:rsid w:val="14717A5D"/>
    <w:rsid w:val="15915C9E"/>
    <w:rsid w:val="167C1082"/>
    <w:rsid w:val="16DE4297"/>
    <w:rsid w:val="16FB76F0"/>
    <w:rsid w:val="1AB469DE"/>
    <w:rsid w:val="1C6F6CFF"/>
    <w:rsid w:val="1C744CBF"/>
    <w:rsid w:val="1D57445C"/>
    <w:rsid w:val="1ECC4DAF"/>
    <w:rsid w:val="1F8F2DF1"/>
    <w:rsid w:val="1FAB658D"/>
    <w:rsid w:val="20CE0ED9"/>
    <w:rsid w:val="22CF50BC"/>
    <w:rsid w:val="22E36792"/>
    <w:rsid w:val="232333DF"/>
    <w:rsid w:val="25BF7042"/>
    <w:rsid w:val="2C8B2374"/>
    <w:rsid w:val="2CD84711"/>
    <w:rsid w:val="2D3A78E3"/>
    <w:rsid w:val="328F1D91"/>
    <w:rsid w:val="38E55D2E"/>
    <w:rsid w:val="436D70FC"/>
    <w:rsid w:val="4AF62C56"/>
    <w:rsid w:val="4DBA372C"/>
    <w:rsid w:val="4E511DD4"/>
    <w:rsid w:val="4EE728E7"/>
    <w:rsid w:val="502B33A2"/>
    <w:rsid w:val="51B62990"/>
    <w:rsid w:val="54EF50EE"/>
    <w:rsid w:val="5B525B22"/>
    <w:rsid w:val="5BCD52BC"/>
    <w:rsid w:val="62CB7F2F"/>
    <w:rsid w:val="637274E6"/>
    <w:rsid w:val="64C41F4A"/>
    <w:rsid w:val="68675E30"/>
    <w:rsid w:val="699851AD"/>
    <w:rsid w:val="6D6656CC"/>
    <w:rsid w:val="6DE7565E"/>
    <w:rsid w:val="732753E0"/>
    <w:rsid w:val="73626AED"/>
    <w:rsid w:val="74E078D2"/>
    <w:rsid w:val="78CC0C1A"/>
    <w:rsid w:val="7C7F7F1A"/>
    <w:rsid w:val="7E534D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0867440254178754"/>
          <c:y val="0.302044011849344"/>
          <c:w val="0.826511949164249"/>
          <c:h val="0.612797291578502"/>
        </c:manualLayout>
      </c:layout>
      <c:pie3DChart>
        <c:varyColors val="1"/>
        <c:ser>
          <c:idx val="0"/>
          <c:order val="0"/>
          <c:spPr>
            <a:scene3d>
              <a:camera prst="orthographicFront"/>
              <a:lightRig rig="threePt" dir="t"/>
            </a:scene3d>
            <a:sp3d contourW="9525"/>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Lbls>
            <c:dLbl>
              <c:idx val="0"/>
              <c:layout>
                <c:manualLayout>
                  <c:x val="-0.04247704510012"/>
                  <c:y val="-0.0260843754663788"/>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21836119124768"/>
                  <c:y val="0.035600867132381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130597809552784"/>
                  <c:y val="-0.0692934782608696"/>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240660118818549"/>
                  <c:y val="0.0108389392220462"/>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outEnd"/>
            <c:showLegendKey val="0"/>
            <c:showVal val="0"/>
            <c:showCatName val="1"/>
            <c:showSerName val="0"/>
            <c:showPercent val="1"/>
            <c:showBubbleSize val="0"/>
            <c:separator> </c:separator>
            <c:showLeaderLines val="1"/>
            <c:extLst>
              <c:ext xmlns:c15="http://schemas.microsoft.com/office/drawing/2012/chart" uri="{CE6537A1-D6FC-4f65-9D91-7224C49458BB}">
                <c15:spPr xmlns:c15="http://schemas.microsoft.com/office/drawing/2012/chart">
                  <a:prstGeom prst="roundRect">
                    <a:avLst/>
                  </a:prstGeom>
                  <a:noFill/>
                  <a:ln>
                    <a:noFill/>
                  </a:ln>
                </c15:spPr>
                <c15:layout/>
                <c15:showLeaderLines val="1"/>
                <c15:leaderLines>
                  <c:spPr>
                    <a:ln w="9525">
                      <a:solidFill>
                        <a:schemeClr val="dk1">
                          <a:lumMod val="35000"/>
                          <a:lumOff val="65000"/>
                        </a:schemeClr>
                      </a:solidFill>
                    </a:ln>
                    <a:effectLst/>
                  </c:spPr>
                </c15:leaderLines>
              </c:ext>
            </c:extLst>
          </c:dLbls>
          <c:cat>
            <c:strRef>
              <c:f>[收入预算图.xlsx]Sheet1!$B$2:$B$5</c:f>
              <c:strCache>
                <c:ptCount val="4"/>
                <c:pt idx="0">
                  <c:v>社会保障和就业支出</c:v>
                </c:pt>
                <c:pt idx="1">
                  <c:v>卫生健康支出</c:v>
                </c:pt>
                <c:pt idx="2">
                  <c:v>农林水支出</c:v>
                </c:pt>
                <c:pt idx="3">
                  <c:v>住房保障支出</c:v>
                </c:pt>
              </c:strCache>
            </c:strRef>
          </c:cat>
          <c:val>
            <c:numRef>
              <c:f>[收入预算图.xlsx]Sheet1!$C$2:$C$5</c:f>
              <c:numCache>
                <c:formatCode>0.00%</c:formatCode>
                <c:ptCount val="4"/>
                <c:pt idx="0">
                  <c:v>0.1682</c:v>
                </c:pt>
                <c:pt idx="1">
                  <c:v>0.0293</c:v>
                </c:pt>
                <c:pt idx="2">
                  <c:v>0.7579</c:v>
                </c:pt>
                <c:pt idx="3">
                  <c:v>0.0446</c:v>
                </c:pt>
              </c:numCache>
            </c:numRef>
          </c:val>
        </c:ser>
        <c:dLbls>
          <c:showLegendKey val="0"/>
          <c:showVal val="0"/>
          <c:showCatName val="1"/>
          <c:showSerName val="0"/>
          <c:showPercent val="1"/>
          <c:showBubbleSize val="0"/>
        </c:dLbls>
      </c:pie3D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4322</Words>
  <Characters>4649</Characters>
  <Lines>0</Lines>
  <Paragraphs>0</Paragraphs>
  <TotalTime>1</TotalTime>
  <ScaleCrop>false</ScaleCrop>
  <LinksUpToDate>false</LinksUpToDate>
  <CharactersWithSpaces>4662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李瑞</cp:lastModifiedBy>
  <dcterms:modified xsi:type="dcterms:W3CDTF">2024-06-08T12:36:25Z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60BC7339106041DA91BAB39D0CD3151D_13</vt:lpwstr>
  </property>
</Properties>
</file>