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岳阳市君山区钱粮湖垸电排总站</w:t>
      </w:r>
    </w:p>
    <w:p>
      <w:pPr>
        <w:spacing w:line="570" w:lineRule="atLeast"/>
        <w:jc w:val="center"/>
        <w:rPr>
          <w:rFonts w:hint="eastAsia" w:eastAsia="方正小标宋简体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2024年部门预算公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>开</w:t>
      </w: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widowControl/>
        <w:spacing w:line="570" w:lineRule="atLeast"/>
        <w:ind w:firstLine="630" w:firstLineChars="196"/>
        <w:rPr>
          <w:rFonts w:hint="eastAsia" w:ascii="黑体" w:hAnsi="黑体" w:eastAsia="黑体" w:cs="黑体"/>
          <w:b/>
          <w:bCs/>
          <w:kern w:val="0"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一、部门基本概况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（一）职能职责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仿宋_GB2312" w:cs="Times New Roman"/>
          <w:sz w:val="32"/>
          <w:szCs w:val="32"/>
        </w:rPr>
        <w:t xml:space="preserve">负责院内大、中、小型排灌机埠的运行、日常管理和维护。 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负责院内排渍、排涝、灌溉等工作，合理调配专业技术操作人员，为农业生产和水利建设服好务，协助搞好沟渠、调蓄湖泊的水系调度，做好水情和雨情上报记录。</w:t>
      </w:r>
    </w:p>
    <w:p>
      <w:pPr>
        <w:widowControl/>
        <w:spacing w:line="600" w:lineRule="exact"/>
        <w:ind w:firstLine="627" w:firstLineChars="196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完成业务主管部门及其乡镇交办的其他工作任务。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-7937500</wp:posOffset>
            </wp:positionH>
            <wp:positionV relativeFrom="page">
              <wp:posOffset>482600</wp:posOffset>
            </wp:positionV>
            <wp:extent cx="7581900" cy="10706100"/>
            <wp:effectExtent l="0" t="0" r="0" b="0"/>
            <wp:wrapNone/>
            <wp:docPr id="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81900" cy="1070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</w:rPr>
        <w:t>（二）机构设置</w:t>
      </w:r>
    </w:p>
    <w:p>
      <w:pPr>
        <w:widowControl/>
        <w:spacing w:line="600" w:lineRule="exact"/>
        <w:ind w:firstLine="627" w:firstLineChars="196"/>
        <w:jc w:val="left"/>
        <w:rPr>
          <w:rFonts w:hint="eastAsia"/>
          <w:sz w:val="32"/>
          <w:szCs w:val="32"/>
        </w:rPr>
      </w:pPr>
      <w:r>
        <w:rPr>
          <w:rFonts w:hint="eastAsia" w:eastAsia="仿宋_GB2312"/>
          <w:sz w:val="32"/>
          <w:szCs w:val="32"/>
          <w:lang w:val="en-US" w:eastAsia="zh-CN"/>
        </w:rPr>
        <w:t>君山区钱粮湖垸电排总站隶属于君山区水利局二级机构。内设股室3个，分别为排灌业务组、办公室和财务室。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二、部门预算单位构成</w:t>
      </w:r>
    </w:p>
    <w:p>
      <w:pPr>
        <w:widowControl/>
        <w:spacing w:line="600" w:lineRule="exact"/>
        <w:ind w:firstLine="627" w:firstLineChars="196"/>
        <w:rPr>
          <w:rFonts w:hint="eastAsia" w:eastAsia="仿宋_GB2312"/>
          <w:sz w:val="32"/>
          <w:szCs w:val="32"/>
          <w:lang w:val="en-US" w:eastAsia="zh-CN"/>
        </w:rPr>
      </w:pPr>
      <w:bookmarkStart w:id="0" w:name="DEPT_COMPOSE"/>
      <w:r>
        <w:rPr>
          <w:rFonts w:hint="eastAsia" w:eastAsia="仿宋_GB2312"/>
          <w:sz w:val="32"/>
          <w:szCs w:val="32"/>
          <w:lang w:eastAsia="zh-CN"/>
        </w:rPr>
        <w:t>本单位</w:t>
      </w:r>
      <w:r>
        <w:rPr>
          <w:rFonts w:hint="eastAsia" w:eastAsia="仿宋_GB2312"/>
          <w:sz w:val="32"/>
          <w:szCs w:val="32"/>
        </w:rPr>
        <w:t>只有本级，没有其他预算单位，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纳入2024年部门预算编制范围的只有</w:t>
      </w:r>
      <w:r>
        <w:rPr>
          <w:rFonts w:hint="eastAsia" w:eastAsia="仿宋_GB2312"/>
          <w:sz w:val="32"/>
          <w:szCs w:val="32"/>
          <w:lang w:val="zh-CN"/>
        </w:rPr>
        <w:t>岳阳市君山区钱粮湖垸电排总站</w:t>
      </w:r>
      <w:r>
        <w:rPr>
          <w:rFonts w:hint="eastAsia" w:eastAsia="仿宋_GB2312"/>
          <w:sz w:val="32"/>
          <w:szCs w:val="32"/>
          <w:lang w:val="en-US" w:eastAsia="zh-CN"/>
        </w:rPr>
        <w:t>本级。</w:t>
      </w:r>
    </w:p>
    <w:bookmarkEnd w:id="0"/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</w:pP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  <w:lang w:val="en-US" w:eastAsia="zh-CN"/>
        </w:rPr>
        <w:t>三、</w:t>
      </w:r>
      <w:r>
        <w:rPr>
          <w:rFonts w:hint="eastAsia" w:ascii="Times New Roman" w:hAnsi="Times New Roman" w:eastAsia="黑体" w:cs="Times New Roman"/>
          <w:b/>
          <w:bCs/>
          <w:color w:val="auto"/>
          <w:kern w:val="0"/>
          <w:sz w:val="32"/>
          <w:szCs w:val="32"/>
          <w:highlight w:val="none"/>
        </w:rPr>
        <w:t>部门收支总体情况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15、16、17、18、19表均为空。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color w:val="auto"/>
          <w:kern w:val="2"/>
          <w:sz w:val="32"/>
          <w:szCs w:val="32"/>
          <w:highlight w:val="none"/>
          <w:lang w:val="en-US" w:eastAsia="zh-CN" w:bidi="ar-SA"/>
        </w:rPr>
        <w:t>收入预算：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包括一般公共预算、政府性基金、国有资本经营预算等财政拨款收入，以及经营收入、事业收入等单位资金。2024年本单位收入预算532.45万元，其中，一般公共预算拨款532.45万元，政府性基金预算资金0.00万元(所以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15-17表为空)，国有资本经营预算资金0.00万元(所以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18表为空)，财政专户管理资金0.00万元(所以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shd w:val="clear" w:color="auto" w:fill="FFFFFF"/>
          <w:lang w:val="en-US" w:eastAsia="zh-CN"/>
        </w:rPr>
        <w:t>部门预算公开表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19表为空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)，上级补助收入资金0.00万元，事业单位经营收入资金0.00万元，上年结转结余0.00万元。收入较上年减少189.42万元，下降26.24%。主要原因是厉行节约，压缩了一般性支出和业务工作经费支出预算。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/>
          <w:lang w:val="en-US" w:eastAsia="zh-CN"/>
        </w:rPr>
        <w:t xml:space="preserve">  </w:t>
      </w: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kern w:val="2"/>
          <w:sz w:val="32"/>
          <w:szCs w:val="32"/>
          <w:lang w:val="en-US" w:eastAsia="zh-CN" w:bidi="ar-SA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支出预算532.45万元，其中：农林水支出308.83万元，社会保障和就业支出171.48万元，卫生健康支出21.44万元，住房保障支出30.7万元。支出较上年减少189.42万元，下降26.24%。主要原因是厉行节约，压缩了一般性支出和业务工作经费支出预算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 xml:space="preserve">   </w:t>
      </w: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四、一般公共预算拨款支出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2024年本单位一般公共预算拨款支出532.45万元，其中：农林水支出308.83万元，占58%；社会保障和就业支出171.48万元，占32.20%；卫生健康支出21.44万元，占4.03%；住房保障支出30.7万元，占5.77%。具体安排情况如下：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Times New Roman" w:hAnsi="Times New Roman" w:eastAsia="仿宋_GB2312" w:cs="Times New Roman"/>
          <w:b/>
          <w:sz w:val="32"/>
          <w:szCs w:val="32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2024年本单位基本支出预算数514.25万元，主要是为保障部门正常运转、完成日常工作任务而发生的各项支出，包括用于基本工资、津贴补贴等人员经费以及办公费、印刷费、水电费、办公设备购置等公用经费。</w:t>
      </w:r>
    </w:p>
    <w:p>
      <w:pPr>
        <w:pStyle w:val="5"/>
        <w:keepNext w:val="0"/>
        <w:keepLines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Chars="200" w:right="0" w:rightChars="0" w:firstLine="321" w:firstLineChars="1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2024年本单位项目支出预算18.2万元，主要是本单位为完成特定工作任务或事业发展目标而发生的支出，包括有关事业发展专项、专项业务费、基本建设支出等，其中： 农林水支出18.2万元，主要用于主要用于堤防维护管理等方面，比上年减少4万元，下降18.02%，主要原因为厉行节约，提防维护经费减少。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五、政府性基金预算支出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2024年度本单位无政府性基金安排的支出，所以公开的附件15-17表（政府性基金预算）为空。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六、其他重要事项的情况说明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</w:t>
      </w:r>
      <w:r>
        <w:rPr>
          <w:rFonts w:hint="eastAsia" w:eastAsia="仿宋_GB2312"/>
          <w:sz w:val="32"/>
          <w:szCs w:val="32"/>
          <w:lang w:val="zh-CN"/>
        </w:rPr>
        <w:t>岳阳市君山区钱粮湖垸电排总站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部门机关运行经费34.8万元，比上年预算下降37.16%。主要原因是厉行节约减少了公用经费预算资金。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2024年本单位“三公”经费预算数为0万元，其中，公务接待费0万元，公务用车购置及运行费0万元（其中，公务用车购置费0万元，公务用车运行费0万元），因公出国（境）费0万元</w:t>
      </w:r>
      <w:bookmarkStart w:id="1" w:name="END_IS_ZERO_06_1"/>
      <w:bookmarkEnd w:id="1"/>
      <w:bookmarkStart w:id="2" w:name="START_IS_ZERO_06_2"/>
      <w:bookmarkEnd w:id="2"/>
      <w:bookmarkStart w:id="3" w:name="DIS_MARK_IS_ZERO_06_2"/>
      <w:bookmarkEnd w:id="3"/>
      <w:bookmarkStart w:id="4" w:name="END_IS_ZERO_06_2"/>
      <w:bookmarkEnd w:id="4"/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，与上年持平，主要原因是2024年没安排“三公”经费预算。</w:t>
      </w:r>
    </w:p>
    <w:p>
      <w:pPr>
        <w:widowControl/>
        <w:spacing w:line="600" w:lineRule="exact"/>
        <w:ind w:firstLine="660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2024年本单位会议费预算0万元，拟召开0次会议，人数0人；培训费预算0.3万元，拟开展2次培训，人数2人；主要是外出培训电排维修类。未计划举办节庆、晚会、论坛、赛事活动，经费预算0 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2024年本单位政府采购预算总额21.4万元，其中，货物类采购预算2万元；工程类采购预算0万元；服务类采购预算19.4万元。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车0辆，特种专业技术用车0辆，其他按照规定配备的公务用车0辆；新增配备单位价值50万元以上设备0台，其中，单位价值100万元以上设备0台。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highlight w:val="none"/>
          <w:shd w:val="clear" w:color="auto" w:fill="FFFFFF"/>
          <w:lang w:val="en-US" w:eastAsia="zh-CN" w:bidi="ar-SA"/>
        </w:rPr>
        <w:t>本单位所有支出实行绩效目标管理。纳入2024年单位整体支出绩效目标的金额为532.45万元，其中，基本支出514.25万元，项目支出18.2万元，具体绩效目标详见文尾附表中部门预算公开表21-22表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。</w:t>
      </w:r>
    </w:p>
    <w:p>
      <w:pPr>
        <w:widowControl/>
        <w:spacing w:line="570" w:lineRule="atLeast"/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七、名词解释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</w:p>
    <w:p>
      <w:pPr>
        <w:widowControl/>
        <w:jc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</w:rPr>
        <w:t>第二部分  2024年部门预算公开表格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eastAsia="zh-CN"/>
        </w:rPr>
        <w:t>本单位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无相关收支情况。</w:t>
      </w: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</w:p>
    <w:p>
      <w:pPr>
        <w:pStyle w:val="5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附件：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zh-CN" w:eastAsia="zh-CN" w:bidi="ar-SA"/>
        </w:rPr>
        <w:t>岳阳市君山区钱粮湖垸电排总站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2024年部门预算公开表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11038EA"/>
    <w:multiLevelType w:val="singleLevel"/>
    <w:tmpl w:val="511038EA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RjYzRiMTYxZDMzMTQyMDNkMWFhNjUyY2VhYTE4YTUifQ=="/>
  </w:docVars>
  <w:rsids>
    <w:rsidRoot w:val="637274E6"/>
    <w:rsid w:val="03394EB3"/>
    <w:rsid w:val="03CB27D1"/>
    <w:rsid w:val="08D46DD5"/>
    <w:rsid w:val="0992531D"/>
    <w:rsid w:val="0A0D382D"/>
    <w:rsid w:val="0D8D68F1"/>
    <w:rsid w:val="0E4B58DB"/>
    <w:rsid w:val="0ED939EE"/>
    <w:rsid w:val="0F1663CA"/>
    <w:rsid w:val="12AE704E"/>
    <w:rsid w:val="13385187"/>
    <w:rsid w:val="157C12DA"/>
    <w:rsid w:val="167C1082"/>
    <w:rsid w:val="16B94831"/>
    <w:rsid w:val="17F30151"/>
    <w:rsid w:val="1B156429"/>
    <w:rsid w:val="1C744CBF"/>
    <w:rsid w:val="1D606D14"/>
    <w:rsid w:val="1DBC1562"/>
    <w:rsid w:val="1E777D08"/>
    <w:rsid w:val="200307FA"/>
    <w:rsid w:val="20A420AE"/>
    <w:rsid w:val="20BE4D41"/>
    <w:rsid w:val="213E1D14"/>
    <w:rsid w:val="21F154FC"/>
    <w:rsid w:val="22CB72A5"/>
    <w:rsid w:val="230C7214"/>
    <w:rsid w:val="264178B0"/>
    <w:rsid w:val="290548E8"/>
    <w:rsid w:val="29EC6874"/>
    <w:rsid w:val="2BF01473"/>
    <w:rsid w:val="2D6329A9"/>
    <w:rsid w:val="2E9D1EEA"/>
    <w:rsid w:val="2EF502C5"/>
    <w:rsid w:val="305B1762"/>
    <w:rsid w:val="305B3D34"/>
    <w:rsid w:val="305C2E10"/>
    <w:rsid w:val="324A2389"/>
    <w:rsid w:val="328F1D91"/>
    <w:rsid w:val="32982A78"/>
    <w:rsid w:val="32C66482"/>
    <w:rsid w:val="32F27DE1"/>
    <w:rsid w:val="34630E3A"/>
    <w:rsid w:val="35683252"/>
    <w:rsid w:val="35D63F1B"/>
    <w:rsid w:val="361C522A"/>
    <w:rsid w:val="364160E0"/>
    <w:rsid w:val="36BE748E"/>
    <w:rsid w:val="372419C7"/>
    <w:rsid w:val="38C2711D"/>
    <w:rsid w:val="3951638D"/>
    <w:rsid w:val="39A84CE7"/>
    <w:rsid w:val="3A242018"/>
    <w:rsid w:val="3BDE696C"/>
    <w:rsid w:val="3C3E2F5F"/>
    <w:rsid w:val="3DDB6795"/>
    <w:rsid w:val="3F116709"/>
    <w:rsid w:val="3F150D8C"/>
    <w:rsid w:val="403F2E01"/>
    <w:rsid w:val="406B3344"/>
    <w:rsid w:val="437D56D1"/>
    <w:rsid w:val="44C24001"/>
    <w:rsid w:val="4555609A"/>
    <w:rsid w:val="46FC3A00"/>
    <w:rsid w:val="47E411CF"/>
    <w:rsid w:val="490966A2"/>
    <w:rsid w:val="49B605D8"/>
    <w:rsid w:val="4AD36F68"/>
    <w:rsid w:val="4ADD73C0"/>
    <w:rsid w:val="4BC03402"/>
    <w:rsid w:val="4D0B14E0"/>
    <w:rsid w:val="4DBF1A26"/>
    <w:rsid w:val="4E430104"/>
    <w:rsid w:val="4EE728E7"/>
    <w:rsid w:val="4FAB499D"/>
    <w:rsid w:val="51066F16"/>
    <w:rsid w:val="51B004D2"/>
    <w:rsid w:val="52241F08"/>
    <w:rsid w:val="52F80A39"/>
    <w:rsid w:val="54244912"/>
    <w:rsid w:val="56301712"/>
    <w:rsid w:val="574216FD"/>
    <w:rsid w:val="576A0C54"/>
    <w:rsid w:val="58276B45"/>
    <w:rsid w:val="58A12453"/>
    <w:rsid w:val="5A380B96"/>
    <w:rsid w:val="5C401F83"/>
    <w:rsid w:val="5D647EF4"/>
    <w:rsid w:val="5DE306BB"/>
    <w:rsid w:val="5E643C60"/>
    <w:rsid w:val="5E9E5003"/>
    <w:rsid w:val="5F3F29C6"/>
    <w:rsid w:val="62D339A3"/>
    <w:rsid w:val="637274E6"/>
    <w:rsid w:val="63894210"/>
    <w:rsid w:val="64C7681D"/>
    <w:rsid w:val="662F72F1"/>
    <w:rsid w:val="66B263EF"/>
    <w:rsid w:val="69AE7F72"/>
    <w:rsid w:val="6B49147A"/>
    <w:rsid w:val="6C0749A4"/>
    <w:rsid w:val="6C5E2742"/>
    <w:rsid w:val="6CB542C8"/>
    <w:rsid w:val="6CC62031"/>
    <w:rsid w:val="6CD8706A"/>
    <w:rsid w:val="70AE175A"/>
    <w:rsid w:val="721F6E5B"/>
    <w:rsid w:val="72860C2E"/>
    <w:rsid w:val="728C4B01"/>
    <w:rsid w:val="729A1F96"/>
    <w:rsid w:val="72B8241C"/>
    <w:rsid w:val="739C7F8F"/>
    <w:rsid w:val="73BE1EBD"/>
    <w:rsid w:val="77D00208"/>
    <w:rsid w:val="78964FAD"/>
    <w:rsid w:val="78CC0C1A"/>
    <w:rsid w:val="791A5BDE"/>
    <w:rsid w:val="799D05BD"/>
    <w:rsid w:val="7AFB04E9"/>
    <w:rsid w:val="7BC77368"/>
    <w:rsid w:val="7C9338B5"/>
    <w:rsid w:val="7EBE525E"/>
    <w:rsid w:val="7F2B17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autoRedefine/>
    <w:qFormat/>
    <w:uiPriority w:val="0"/>
    <w:pPr>
      <w:ind w:firstLine="420"/>
    </w:pPr>
    <w:rPr>
      <w:szCs w:val="20"/>
    </w:r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page number"/>
    <w:autoRedefine/>
    <w:qFormat/>
    <w:uiPriority w:val="0"/>
  </w:style>
  <w:style w:type="character" w:styleId="9">
    <w:name w:val="Hyperlink"/>
    <w:basedOn w:val="7"/>
    <w:qFormat/>
    <w:uiPriority w:val="0"/>
    <w:rPr>
      <w:color w:val="0000FF"/>
      <w:u w:val="single"/>
    </w:rPr>
  </w:style>
  <w:style w:type="paragraph" w:customStyle="1" w:styleId="10">
    <w:name w:val="Normal_0"/>
    <w:unhideWhenUsed/>
    <w:qFormat/>
    <w:uiPriority w:val="0"/>
    <w:pPr>
      <w:spacing w:before="120" w:beforeLines="0" w:after="240" w:afterLines="0"/>
      <w:jc w:val="both"/>
    </w:pPr>
    <w:rPr>
      <w:rFonts w:hint="default" w:ascii="Calibri" w:hAnsi="Calibri" w:eastAsia="宋体" w:cs="Times New Roman"/>
      <w:sz w:val="22"/>
      <w:szCs w:val="24"/>
      <w:lang w:val="en-US" w:eastAsia="en-US" w:bidi="ar-SA"/>
    </w:rPr>
  </w:style>
  <w:style w:type="paragraph" w:customStyle="1" w:styleId="11">
    <w:name w:val="Normal_1"/>
    <w:qFormat/>
    <w:uiPriority w:val="0"/>
    <w:pPr>
      <w:spacing w:before="120" w:after="240"/>
      <w:jc w:val="both"/>
    </w:pPr>
    <w:rPr>
      <w:rFonts w:ascii="Calibri" w:hAnsi="Calibri" w:eastAsia="宋体" w:cs="Times New Roman"/>
      <w:sz w:val="22"/>
      <w:szCs w:val="22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C:\Users\Administrator\Desktop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/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0383328262853666"/>
                  <c:y val="-0.0546497584541063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农林水支出</c:v>
                </c:pt>
                <c:pt idx="3">
                  <c:v>住房保障支出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0.322</c:v>
                </c:pt>
                <c:pt idx="1">
                  <c:v>0.0403</c:v>
                </c:pt>
                <c:pt idx="2">
                  <c:v>0.58</c:v>
                </c:pt>
                <c:pt idx="3">
                  <c:v>0.0577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3275</Words>
  <Characters>3545</Characters>
  <Lines>0</Lines>
  <Paragraphs>0</Paragraphs>
  <TotalTime>0</TotalTime>
  <ScaleCrop>false</ScaleCrop>
  <LinksUpToDate>false</LinksUpToDate>
  <CharactersWithSpaces>3559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dell</cp:lastModifiedBy>
  <dcterms:modified xsi:type="dcterms:W3CDTF">2024-06-09T03:10:37Z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162E544386AE4D92BF8D6E0D87531EEF_13</vt:lpwstr>
  </property>
</Properties>
</file>