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岳阳市君山区君山垸电排总站</w:t>
      </w:r>
    </w:p>
    <w:p>
      <w:pPr>
        <w:spacing w:line="570" w:lineRule="atLeast"/>
        <w:jc w:val="center"/>
        <w:rPr>
          <w:rFonts w:hint="eastAsia" w:eastAsia="方正小标宋简体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开</w:t>
      </w: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widowControl/>
        <w:spacing w:line="600" w:lineRule="exact"/>
        <w:ind w:firstLine="627" w:firstLineChars="196"/>
        <w:rPr>
          <w:rFonts w:hint="eastAsia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1.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负责院内大、中、小型排灌机埠的运行、日常管理和维护。 </w:t>
      </w:r>
    </w:p>
    <w:p>
      <w:pPr>
        <w:widowControl/>
        <w:spacing w:line="600" w:lineRule="exact"/>
        <w:ind w:firstLine="627" w:firstLineChars="196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2.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负责院内排渍、排涝、灌溉等工作，合理调配专业技术操作人员，为农业生产和水利建设服好务，协助搞好沟渠、调蓄湖泊的水系调度，做好水情和雨情上报记录。</w:t>
      </w:r>
    </w:p>
    <w:p>
      <w:pPr>
        <w:widowControl/>
        <w:spacing w:line="600" w:lineRule="exact"/>
        <w:ind w:firstLine="627" w:firstLineChars="196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3.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完成业务主管部门及其乡镇交办的其他工作任务。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-7937500</wp:posOffset>
            </wp:positionH>
            <wp:positionV relativeFrom="page">
              <wp:posOffset>482600</wp:posOffset>
            </wp:positionV>
            <wp:extent cx="7581900" cy="10706100"/>
            <wp:effectExtent l="0" t="0" r="0" b="0"/>
            <wp:wrapNone/>
            <wp:docPr id="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81900" cy="1070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widowControl/>
        <w:spacing w:line="600" w:lineRule="exact"/>
        <w:ind w:firstLine="627" w:firstLineChars="196"/>
        <w:rPr>
          <w:rFonts w:hint="eastAsia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君山区君山垸电排总站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隶属于君山区水利局二级机构。内设股室3个，分别为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排灌业务组、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办公室和财务室。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二、部门预算单位构成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bookmarkStart w:id="0" w:name="DEPT_COMPOSE"/>
      <w:r>
        <w:rPr>
          <w:rFonts w:hint="eastAsia" w:eastAsia="仿宋_GB2312"/>
          <w:sz w:val="32"/>
          <w:szCs w:val="32"/>
          <w:lang w:eastAsia="zh-CN"/>
        </w:rPr>
        <w:t>本单位</w:t>
      </w:r>
      <w:r>
        <w:rPr>
          <w:rFonts w:hint="eastAsia" w:eastAsia="仿宋_GB2312"/>
          <w:sz w:val="32"/>
          <w:szCs w:val="32"/>
        </w:rPr>
        <w:t>只有本级，没有其他预算单位，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纳入2024年部门预算编制范围的只有</w:t>
      </w:r>
      <w:r>
        <w:rPr>
          <w:rFonts w:hint="eastAsia" w:eastAsia="仿宋_GB2312"/>
          <w:sz w:val="32"/>
          <w:szCs w:val="32"/>
          <w:lang w:val="en-US" w:eastAsia="zh-CN"/>
        </w:rPr>
        <w:t>岳阳市君山区建设垸水利管理委员会本级。</w:t>
      </w:r>
    </w:p>
    <w:bookmarkEnd w:id="0"/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2"/>
          <w:sz w:val="32"/>
          <w:szCs w:val="32"/>
          <w:highlight w:val="none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包括一般公共预算、政府性基金、国有资本经营预算等财政拨款收入，以及经营收入、事业收入等单位资金。2024年本单位收入预算370.39万元，其中，一般公共预算拨款370.39万元，政府性基金预算资金0.00万元(所以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15-17表为空)，国有资本经营预算资金0.00万元(所以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18表为空)，财政专户管理资金0.00万元(所以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19表为空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)，上级补助收入资金0.00万元，事业单位经营收入资金0.00万元，上年结转结余0.00万元。收入较上年减少57.13万元，下降13.36%。主要原因是厉行节约，压缩了一般性支出和业务工作经费支出预算。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/>
          <w:lang w:val="en-US" w:eastAsia="zh-CN"/>
        </w:rPr>
        <w:t xml:space="preserve">  </w:t>
      </w:r>
      <w:r>
        <w:drawing>
          <wp:inline distT="0" distB="0" distL="114300" distR="114300">
            <wp:extent cx="4826000" cy="2743200"/>
            <wp:effectExtent l="4445" t="4445" r="8255" b="52705"/>
            <wp:docPr id="8" name="图表 7" descr="7b0a202020202263686172745265734964223a20223230343736303933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支出预算370.39万元，其中：农林水支出238.36万元，社会保障和就业支出98.17万元，卫生健康支出13.61万元，住房保障支出20.25万元。支出较上年减少57.13万元，下降13.36%。主要原因是厉行节约，压缩了一般性支出和业务工作经费支出预算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 xml:space="preserve">   </w:t>
      </w: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2024年本单位一般公共预算拨款支出370.39万元，其中：农林水支出238.36万元，占64.35%；社会保障和就业支出98.17万元，占26.51%；卫生健康支出13.61万元，占3.67%；住房保障支出20.25万元，占5.47%。具体安排情况如下：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2024年本单位基本支出预算数323.59万元，主要是为保障部门正常运转、完成日常工作任务而发生的各项支出，包括用于基本工资、津贴补贴等人员经费以及办公费、印刷费、水电费、办公设备购置等公用经费。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2024年本单位项目支出预算46.8万元，主要是本单位为完成特定工作任务或事业发展目标而发生的支出，包括有关事业发展专项、专项业务费、基本建设支出等，其中： 农林水支出46.8万元，主要用于主要用于堤防维护管理等方面，比上年减少2万元，主要原因为厉行节约压缩了提防经费预算。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2024年度本单位无政府性基金安排的支出，所以公开的附件15-17表（政府性基金预算）为空。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</w:t>
      </w:r>
      <w:r>
        <w:rPr>
          <w:rFonts w:hint="eastAsia" w:eastAsia="仿宋_GB2312"/>
          <w:sz w:val="32"/>
          <w:szCs w:val="32"/>
          <w:lang w:val="zh-CN"/>
        </w:rPr>
        <w:t>岳阳市君山区君山垸电排总站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部门机关运行经费22.8万元，比上年预算下降26.97%。主要原因是财政厉行节约减少了公用经费预算资金。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2024年本单位“三公”经费预算数为0万元，其中，公务接待费0万元，公务用车购置及运行费0万元（其中，公务用车购置费0万元，公务用车运行费0万元），因公出国（境）费0万元。</w:t>
      </w:r>
      <w:bookmarkStart w:id="1" w:name="END_IS_ZERO_06_1"/>
      <w:bookmarkEnd w:id="1"/>
      <w:bookmarkStart w:id="2" w:name="START_IS_ZERO_06_2"/>
      <w:bookmarkEnd w:id="2"/>
      <w:bookmarkStart w:id="3" w:name="END_IS_ZERO_06_2"/>
      <w:bookmarkEnd w:id="3"/>
      <w:bookmarkStart w:id="4" w:name="DIS_MARK_IS_ZERO_06_2"/>
      <w:bookmarkEnd w:id="4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与上年持平，主要原因是2024年没安排“三公”经费预算。</w:t>
      </w:r>
    </w:p>
    <w:p>
      <w:pPr>
        <w:widowControl/>
        <w:spacing w:line="600" w:lineRule="exact"/>
        <w:ind w:firstLine="660"/>
        <w:rPr>
          <w:rFonts w:eastAsia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2024年本单位会议费预算0万元，拟召开0次会议，人数0人；培训费预算0万元，拟开展0次培训，人数0人；未计划举办节庆、晚会、论坛、赛事活动，经费预算0万元。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2024年本单位政府采购预算总额9.9万元，其中，货物类采购预算7万元；工程类采购预算0万元；服务类采购预算2.9万元。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单位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本单位所有支出实行绩效目标管理。纳入2024年单位整体支出绩效目标的金额为370.39万元，其中，基本支出323.59万元，项目支出46.8万元，具体绩效目标详见文尾附表中部门预算公开表21-22表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bookmarkStart w:id="5" w:name="_GoBack"/>
      <w:bookmarkEnd w:id="5"/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zh-CN" w:eastAsia="zh-CN" w:bidi="ar-SA"/>
        </w:rPr>
        <w:t>岳阳市君山区君山垸电排总站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RjYzRiMTYxZDMzMTQyMDNkMWFhNjUyY2VhYTE4YTUifQ=="/>
  </w:docVars>
  <w:rsids>
    <w:rsidRoot w:val="637274E6"/>
    <w:rsid w:val="015E3A7B"/>
    <w:rsid w:val="022B0074"/>
    <w:rsid w:val="08D46DD5"/>
    <w:rsid w:val="0992531D"/>
    <w:rsid w:val="0A0D382D"/>
    <w:rsid w:val="0D8D68F1"/>
    <w:rsid w:val="0E4B58DB"/>
    <w:rsid w:val="0ED939EE"/>
    <w:rsid w:val="0F1663CA"/>
    <w:rsid w:val="12AE704E"/>
    <w:rsid w:val="13385187"/>
    <w:rsid w:val="157C12DA"/>
    <w:rsid w:val="167C1082"/>
    <w:rsid w:val="16B94831"/>
    <w:rsid w:val="17F30151"/>
    <w:rsid w:val="1B156429"/>
    <w:rsid w:val="1C744CBF"/>
    <w:rsid w:val="1CD35F20"/>
    <w:rsid w:val="1D606D14"/>
    <w:rsid w:val="200307FA"/>
    <w:rsid w:val="20A420AE"/>
    <w:rsid w:val="20BE4D41"/>
    <w:rsid w:val="213E1D14"/>
    <w:rsid w:val="21F154FC"/>
    <w:rsid w:val="22CB72A5"/>
    <w:rsid w:val="230C7214"/>
    <w:rsid w:val="264178B0"/>
    <w:rsid w:val="28254208"/>
    <w:rsid w:val="290548E8"/>
    <w:rsid w:val="29EC6874"/>
    <w:rsid w:val="2BF01473"/>
    <w:rsid w:val="2D6329A9"/>
    <w:rsid w:val="2E9D1EEA"/>
    <w:rsid w:val="2EF502C5"/>
    <w:rsid w:val="305B1762"/>
    <w:rsid w:val="305B3D34"/>
    <w:rsid w:val="305C2E10"/>
    <w:rsid w:val="324A2389"/>
    <w:rsid w:val="328F1D91"/>
    <w:rsid w:val="32982A78"/>
    <w:rsid w:val="32C66482"/>
    <w:rsid w:val="32F27DE1"/>
    <w:rsid w:val="34630E3A"/>
    <w:rsid w:val="35683252"/>
    <w:rsid w:val="35D63F1B"/>
    <w:rsid w:val="361C522A"/>
    <w:rsid w:val="36BE748E"/>
    <w:rsid w:val="372419C7"/>
    <w:rsid w:val="38C2711D"/>
    <w:rsid w:val="3951638D"/>
    <w:rsid w:val="39A84CE7"/>
    <w:rsid w:val="3A242018"/>
    <w:rsid w:val="3BDE696C"/>
    <w:rsid w:val="3DDB6795"/>
    <w:rsid w:val="3F116709"/>
    <w:rsid w:val="3F150D8C"/>
    <w:rsid w:val="403F2E01"/>
    <w:rsid w:val="406B3344"/>
    <w:rsid w:val="44C24001"/>
    <w:rsid w:val="4555609A"/>
    <w:rsid w:val="47E411CF"/>
    <w:rsid w:val="490966A2"/>
    <w:rsid w:val="49B605D8"/>
    <w:rsid w:val="4AD36F68"/>
    <w:rsid w:val="4ADD73C0"/>
    <w:rsid w:val="4BC03402"/>
    <w:rsid w:val="4D0B14E0"/>
    <w:rsid w:val="4DBF1A26"/>
    <w:rsid w:val="4EE728E7"/>
    <w:rsid w:val="51066F16"/>
    <w:rsid w:val="51B004D2"/>
    <w:rsid w:val="52241F08"/>
    <w:rsid w:val="54244912"/>
    <w:rsid w:val="56301712"/>
    <w:rsid w:val="56FA4E5F"/>
    <w:rsid w:val="574216FD"/>
    <w:rsid w:val="576A0C54"/>
    <w:rsid w:val="58276B45"/>
    <w:rsid w:val="58A12453"/>
    <w:rsid w:val="5A380B96"/>
    <w:rsid w:val="5C401F83"/>
    <w:rsid w:val="5D647EF4"/>
    <w:rsid w:val="5DE306BB"/>
    <w:rsid w:val="5E0B75C1"/>
    <w:rsid w:val="5E9E5003"/>
    <w:rsid w:val="5F3F29C6"/>
    <w:rsid w:val="637274E6"/>
    <w:rsid w:val="63894210"/>
    <w:rsid w:val="64C7681D"/>
    <w:rsid w:val="662F72F1"/>
    <w:rsid w:val="66B263EF"/>
    <w:rsid w:val="6B49147A"/>
    <w:rsid w:val="6C0749A4"/>
    <w:rsid w:val="6C5E2742"/>
    <w:rsid w:val="6CB542C8"/>
    <w:rsid w:val="6CC62031"/>
    <w:rsid w:val="6CD8706A"/>
    <w:rsid w:val="6F581BB7"/>
    <w:rsid w:val="70AE175A"/>
    <w:rsid w:val="721F6E5B"/>
    <w:rsid w:val="72860C2E"/>
    <w:rsid w:val="728C4B01"/>
    <w:rsid w:val="729A1F96"/>
    <w:rsid w:val="72B8241C"/>
    <w:rsid w:val="739C7F8F"/>
    <w:rsid w:val="73BE1EBD"/>
    <w:rsid w:val="77D00208"/>
    <w:rsid w:val="78CC0C1A"/>
    <w:rsid w:val="791A5BDE"/>
    <w:rsid w:val="799D05BD"/>
    <w:rsid w:val="7AFB04E9"/>
    <w:rsid w:val="7B775EE5"/>
    <w:rsid w:val="7C9338B5"/>
    <w:rsid w:val="7D242AE4"/>
    <w:rsid w:val="7DA4030B"/>
    <w:rsid w:val="7EBE5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autoRedefine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autoRedefine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paragraph" w:customStyle="1" w:styleId="10">
    <w:name w:val="Normal_0"/>
    <w:unhideWhenUsed/>
    <w:qFormat/>
    <w:uiPriority w:val="0"/>
    <w:pPr>
      <w:spacing w:before="120" w:beforeLines="0" w:after="240" w:afterLines="0"/>
      <w:jc w:val="both"/>
    </w:pPr>
    <w:rPr>
      <w:rFonts w:hint="default" w:ascii="Calibri" w:hAnsi="Calibri" w:eastAsia="宋体" w:cs="Times New Roman"/>
      <w:sz w:val="22"/>
      <w:szCs w:val="24"/>
      <w:lang w:val="en-US" w:eastAsia="en-US" w:bidi="ar-SA"/>
    </w:rPr>
  </w:style>
  <w:style w:type="paragraph" w:customStyle="1" w:styleId="11">
    <w:name w:val="Normal_1"/>
    <w:qFormat/>
    <w:uiPriority w:val="0"/>
    <w:pPr>
      <w:spacing w:before="120" w:after="240"/>
      <w:jc w:val="both"/>
    </w:pPr>
    <w:rPr>
      <w:rFonts w:ascii="Calibri" w:hAnsi="Calibri" w:eastAsia="宋体" w:cs="Times New Roman"/>
      <w:sz w:val="22"/>
      <w:szCs w:val="2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themeOverride" Target="../theme/themeOverrid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 forceAA="0"/>
          <a:lstStyle/>
          <a:p>
            <a:pPr>
              <a:defRPr lang="zh-CN" sz="1400" b="0" i="0" u="none" strike="noStrike" kern="1200" spc="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25"/>
      <c:rotY val="0"/>
      <c:depthPercent val="10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spPr>
            <a:ln w="15875" cmpd="sng">
              <a:solidFill>
                <a:schemeClr val="bg1"/>
              </a:solidFill>
              <a:prstDash val="solid"/>
            </a:ln>
            <a:effectLst/>
            <a:scene3d>
              <a:camera prst="orthographicFront"/>
              <a:lightRig rig="threePt" dir="t"/>
            </a:scene3d>
            <a:sp3d contourW="15875" prstMaterial="flat"/>
          </c:spPr>
          <c:explosion val="0"/>
          <c:dPt>
            <c:idx val="0"/>
            <c:bubble3D val="0"/>
            <c:spPr>
              <a:gradFill>
                <a:gsLst>
                  <a:gs pos="0">
                    <a:schemeClr val="accent1">
                      <a:lumMod val="60000"/>
                      <a:lumOff val="40000"/>
                    </a:schemeClr>
                  </a:gs>
                  <a:gs pos="70000">
                    <a:schemeClr val="accent1"/>
                  </a:gs>
                </a:gsLst>
                <a:lin ang="13500000" scaled="0"/>
              </a:gradFill>
              <a:ln w="15875" cmpd="sng">
                <a:solidFill>
                  <a:schemeClr val="accent1">
                    <a:lumMod val="75000"/>
                  </a:schemeClr>
                </a:solidFill>
                <a:prstDash val="solid"/>
              </a:ln>
              <a:effectLst/>
              <a:scene3d>
                <a:camera prst="orthographicFront"/>
                <a:lightRig rig="threePt" dir="t"/>
              </a:scene3d>
              <a:sp3d contourW="15875" prstMaterial="flat"/>
            </c:spPr>
          </c:dPt>
          <c:dLbls>
            <c:dLbl>
              <c:idx val="0"/>
              <c:layout/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 forceAA="0"/>
                <a:lstStyle/>
                <a:p>
                  <a:pPr>
                    <a:defRPr lang="zh-CN" sz="900" b="0" i="0" u="none" strike="noStrike" kern="1200" baseline="0">
                      <a:solidFill>
                        <a:schemeClr val="bg1"/>
                      </a:solidFill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 forceAA="0"/>
              <a:lstStyle/>
              <a:p>
                <a:pPr>
                  <a:defRPr lang="zh-CN" sz="900" b="0" i="0" u="none" strike="noStrike" kern="1200" baseline="0">
                    <a:solidFill>
                      <a:schemeClr val="bg1"/>
                    </a:solidFill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extLst>
                <c:ext xmlns:c15="http://schemas.microsoft.com/office/drawing/2012/chart" uri="{02D57815-91ED-43cb-92C2-25804820EDAC}">
                  <c15:fullRef>
                    <c15:sqref>[收入预算图.xlsx]Sheet1!$B$31:$B$32</c15:sqref>
                  </c15:fullRef>
                </c:ext>
              </c:extLst>
              <c:f>[收入预算图.xlsx]Sheet1!$B$31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Sheet1!$C$31:$C$32</c15:sqref>
                  </c15:fullRef>
                </c:ext>
              </c:extLst>
              <c:f>[收入预算图.xlsx]Sheet1!$C$31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 forceAA="0"/>
        <a:lstStyle/>
        <a:p>
          <a:pPr>
            <a:defRPr lang="zh-CN"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bg1">
          <a:lumMod val="85000"/>
        </a:schemeClr>
      </a:solidFill>
      <a:prstDash val="solid"/>
      <a:round/>
    </a:ln>
    <a:effectLst>
      <a:outerShdw blurRad="63500" dist="37357" dir="2700000" sx="0" sy="0" rotWithShape="0">
        <a:scrgbClr r="0" g="0" b="0"/>
      </a:outerShdw>
    </a:effectLst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/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Lbls>
            <c:dLbl>
              <c:idx val="0"/>
              <c:layout>
                <c:manualLayout>
                  <c:x val="-0.0383328262853666"/>
                  <c:y val="-0.0546497584541063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0.00870677353996511"/>
                  <c:y val="-0.072312801932367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30597809552784"/>
                  <c:y val="-0.0692934782608696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0.240660118818549"/>
                  <c:y val="0.0108389392220462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[收入预算图.xlsx]Sheet1!$B$2:$B$5</c:f>
              <c:strCache>
                <c:ptCount val="4"/>
                <c:pt idx="0">
                  <c:v>社会保障和就业支出</c:v>
                </c:pt>
                <c:pt idx="1">
                  <c:v>卫生健康支出</c:v>
                </c:pt>
                <c:pt idx="2">
                  <c:v>农林水支出</c:v>
                </c:pt>
                <c:pt idx="3">
                  <c:v>住房保障支出</c:v>
                </c:pt>
              </c:strCache>
            </c:strRef>
          </c:cat>
          <c:val>
            <c:numRef>
              <c:f>[收入预算图.xlsx]Sheet1!$C$2:$C$5</c:f>
              <c:numCache>
                <c:formatCode>0.00%</c:formatCode>
                <c:ptCount val="4"/>
                <c:pt idx="0">
                  <c:v>0.2651</c:v>
                </c:pt>
                <c:pt idx="1">
                  <c:v>0.0367</c:v>
                </c:pt>
                <c:pt idx="2">
                  <c:v>0.6435</c:v>
                </c:pt>
                <c:pt idx="3">
                  <c:v>0.0547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自定义 6">
    <a:dk1>
      <a:srgbClr val="000000"/>
    </a:dk1>
    <a:lt1>
      <a:srgbClr val="FFFFFF"/>
    </a:lt1>
    <a:dk2>
      <a:srgbClr val="0C0E1F"/>
    </a:dk2>
    <a:lt2>
      <a:srgbClr val="FEFFFF"/>
    </a:lt2>
    <a:accent1>
      <a:srgbClr val="54C9FA"/>
    </a:accent1>
    <a:accent2>
      <a:srgbClr val="6C92FD"/>
    </a:accent2>
    <a:accent3>
      <a:srgbClr val="FF731F"/>
    </a:accent3>
    <a:accent4>
      <a:srgbClr val="16CC8A"/>
    </a:accent4>
    <a:accent5>
      <a:srgbClr val="FFC619"/>
    </a:accent5>
    <a:accent6>
      <a:srgbClr val="4E37FF"/>
    </a:accent6>
    <a:hlink>
      <a:srgbClr val="304FFE"/>
    </a:hlink>
    <a:folHlink>
      <a:srgbClr val="492067"/>
    </a:folHlink>
  </a:clrScheme>
  <a:fontScheme name="自定义 2">
    <a:majorFont>
      <a:latin typeface="微软雅黑"/>
      <a:ea typeface="微软雅黑"/>
      <a:cs typeface=""/>
    </a:majorFont>
    <a:minorFont>
      <a:latin typeface="微软雅黑"/>
      <a:ea typeface="微软雅黑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3245</Words>
  <Characters>3507</Characters>
  <Lines>0</Lines>
  <Paragraphs>0</Paragraphs>
  <TotalTime>0</TotalTime>
  <ScaleCrop>false</ScaleCrop>
  <LinksUpToDate>false</LinksUpToDate>
  <CharactersWithSpaces>3521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dell</cp:lastModifiedBy>
  <dcterms:modified xsi:type="dcterms:W3CDTF">2024-06-09T02:56:09Z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162E544386AE4D92BF8D6E0D87531EEF_13</vt:lpwstr>
  </property>
</Properties>
</file>