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theme/themeOverride1.xml" ContentType="application/vnd.openxmlformats-officedocument.themeOverrid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ind w:firstLine="2209" w:firstLineChars="500"/>
        <w:jc w:val="both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岳阳市君山区融媒体中心</w:t>
      </w:r>
    </w:p>
    <w:p>
      <w:pPr>
        <w:spacing w:line="570" w:lineRule="atLeast"/>
        <w:ind w:firstLine="2209" w:firstLineChars="500"/>
        <w:jc w:val="both"/>
        <w:rPr>
          <w:rFonts w:hint="eastAsia" w:ascii="黑体" w:hAnsi="黑体" w:eastAsia="黑体" w:cs="黑体"/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2024年部门预算公开</w:t>
      </w:r>
    </w:p>
    <w:p>
      <w:pPr>
        <w:jc w:val="center"/>
        <w:rPr>
          <w:rFonts w:hint="eastAsia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both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eastAsia="黑体" w:asciiTheme="minorEastAsia" w:hAnsiTheme="minorEastAsia" w:cstheme="minorEastAsia"/>
          <w:sz w:val="28"/>
          <w:szCs w:val="28"/>
          <w:lang w:eastAsia="zh-CN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（一）职能职责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岳阳市君山区融媒体中心(以下简称区融媒体中心)是区政府直属正科级公益类事业单位，归口区委宣传部管理。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1、贯彻执行党和国家新闻宣传的路线、方针、政策。把握正确的舆论导向，围绕区委、区政府中心工作，开展全区新闻宣传报道。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2、承办重大宣传活动的直播、录播工作;负责各行政执法部门的舆论监督。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3、承办君山电视台、君山应急广播电台、君山新闻网、君山手机报、君山微信公众号、君山在线APP(新湖南客户端君山频道)等媒体。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4、按照区委工作机关拟定全区新闻媒体事业发展规划具体实施;负责全区官方新媒体的研究和开发利用；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5、负责广播、电视等媒体的监听、监看工作，组织审查自办节目频道播出的电视剧、电影和其他节目的内容和质量，确保广播、电视节目优质安全播出。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6、负责农村广播“村村响”节目录制和播出。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7、负责全区党员教育音视频课件制作。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8、负责全区新闻宣传人才的培训、培养、引进和使用工作，建立统分结合、机动灵活、因事设岗、精干高效的管理体制。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9、加强与中央、省、市各类媒体的联系与合作。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10、承办区委、区人民政府交办的其他事项。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（二）机构设置</w:t>
      </w:r>
    </w:p>
    <w:p>
      <w:pPr>
        <w:widowControl/>
        <w:spacing w:line="600" w:lineRule="exact"/>
        <w:ind w:firstLine="627" w:firstLineChars="196"/>
        <w:jc w:val="left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融媒体中心内设策划中心、编辑中心、新闻采访中心、技术保障中心、融媒体推广中心、综合服务中心。全额拨款事业编制27名，已到编26人。设主任1名，副主任3名，股级干部职数7名。下属区广播“村村响”服务站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二、部门预算单位构成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  <w:bookmarkStart w:id="0" w:name="DEPT_COMPOSE"/>
      <w:r>
        <w:rPr>
          <w:rFonts w:hint="eastAsia" w:eastAsia="仿宋_GB2312"/>
          <w:sz w:val="32"/>
          <w:szCs w:val="32"/>
          <w:lang w:eastAsia="zh-CN"/>
        </w:rPr>
        <w:t>岳阳市君山区融媒体中心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部门只有本级，没有其他二级预算单位，因此，纳入2024年部门预算编制范围的只有</w:t>
      </w:r>
      <w:r>
        <w:rPr>
          <w:rFonts w:hint="eastAsia" w:eastAsia="仿宋_GB2312"/>
          <w:sz w:val="32"/>
          <w:szCs w:val="32"/>
          <w:lang w:eastAsia="zh-CN"/>
        </w:rPr>
        <w:t>岳阳市君山区融媒体中心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本级。</w:t>
      </w:r>
      <w:bookmarkEnd w:id="0"/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部门收支总体情况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本部门2024年没有政府性基金预算拨款、国有资本经营预算收入和纳入专户管理的非税收入拨款收入，也没有使用政府性基金预算拨款、国有资本经营预算收入和纳入专户管理的非税收入拨款安排的支出，所以公开的附件15、16、17、18、19表均为空。</w:t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收入预算：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包括一般公共预算、政府性基金、国有资本经营预算等财政拨款收入，以及经营收入、事业收入等单位资金。2024年本部门收入预479.17万元，其中，一般公共预算拨款479.17万元，政府性基金预算资金0.00万元(所以公开的附件15-17表为空)，国有资本经营预算资金0.00万元(所以公开的附件18表为空)，财政专户管理资金0.00万元(所以公开的附件19表为空)，上级补助收入资金0.00万元，事业单位经营收入资金0.00万元，上年结转结余0.00万元。收入较上年增加17.83万元，上升3.86%。主要原因是增加广播村村响项目支出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drawing>
          <wp:inline distT="0" distB="0" distL="114300" distR="114300">
            <wp:extent cx="4826000" cy="2743200"/>
            <wp:effectExtent l="4445" t="4445" r="8255" b="52705"/>
            <wp:docPr id="8" name="图表 7" descr="7b0a202020202263686172745265734964223a20223230343736303933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支出预算479.17万元，其中：社会保障和就业支出62.64万元，卫生健康支出16.37万元，科学技术支出96万元，文化旅游体育与传媒支出277.44万元，住房保障支出26.72万元。支出较上年增加17.83万元，上升3.86%。主要原因是增加广播村村响项目支出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/>
          <w:lang w:val="en-US" w:eastAsia="zh-CN"/>
        </w:rPr>
        <w:t xml:space="preserve">      </w:t>
      </w:r>
      <w:r>
        <w:drawing>
          <wp:inline distT="0" distB="0" distL="114300" distR="114300">
            <wp:extent cx="4596765" cy="3001010"/>
            <wp:effectExtent l="4445" t="4445" r="8890" b="23495"/>
            <wp:docPr id="2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一般公共预算拨款支出479.17万元，其中：：社会保障和就业支出62.64万元，占13.07%；卫生健康支出16.37万元，占3.42%；科学技术支出96万元，占20.03%；文化旅游体育与传媒支出277.44万元，占57.9%；住房保障支出26.72万元，占5.58%。具体安排情况如下：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sz w:val="32"/>
          <w:szCs w:val="32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2024年本部门基本支出预算数358.37万元，主要是为保障部门正常运转、完成日常工作任务而发生的各项支出，包括用于基本工资、津贴补贴等人员经费以及办公费、印刷费、水电费、办公设备购置等公用经费。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2024年本部门项目支出预算120.8万元，主要是本单位为完成特定工作任务或事业发展目标而发生的支出，包括有关事业发展专项、专项业务费、基本建设支出等，其中： 文化旅游体育与传媒支出24.8万元，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主要用于</w:t>
      </w:r>
      <w:r>
        <w:rPr>
          <w:rFonts w:hint="eastAsia" w:eastAsia="仿宋_GB2312"/>
          <w:sz w:val="32"/>
          <w:szCs w:val="32"/>
        </w:rPr>
        <w:t>确保县级融媒体建设的完美发展，保证党和政府的声音以多种渠道传播下去，促进君山政治、经济、文化发展，新媒体融合发展等方面；科学技术支出</w:t>
      </w:r>
      <w:r>
        <w:rPr>
          <w:rFonts w:hint="eastAsia" w:eastAsia="仿宋_GB2312"/>
          <w:sz w:val="32"/>
          <w:szCs w:val="32"/>
          <w:lang w:val="en-US" w:eastAsia="zh-CN"/>
        </w:rPr>
        <w:t>96万元，</w:t>
      </w:r>
      <w:r>
        <w:rPr>
          <w:rFonts w:hint="eastAsia" w:eastAsia="仿宋_GB2312"/>
          <w:sz w:val="32"/>
          <w:szCs w:val="32"/>
        </w:rPr>
        <w:t>主要用于广播村村响运营经费</w:t>
      </w:r>
      <w:r>
        <w:rPr>
          <w:rFonts w:hint="eastAsia" w:eastAsia="仿宋_GB2312"/>
          <w:sz w:val="32"/>
          <w:szCs w:val="32"/>
          <w:lang w:eastAsia="zh-CN"/>
        </w:rPr>
        <w:t>、</w:t>
      </w:r>
      <w:r>
        <w:rPr>
          <w:rFonts w:hint="eastAsia" w:eastAsia="仿宋_GB2312"/>
          <w:sz w:val="32"/>
          <w:szCs w:val="32"/>
        </w:rPr>
        <w:t>设备购置</w:t>
      </w:r>
      <w:r>
        <w:rPr>
          <w:rFonts w:hint="eastAsia" w:eastAsia="仿宋_GB2312"/>
          <w:sz w:val="32"/>
          <w:szCs w:val="32"/>
          <w:lang w:eastAsia="zh-CN"/>
        </w:rPr>
        <w:t>、</w:t>
      </w:r>
      <w:r>
        <w:rPr>
          <w:rFonts w:hint="eastAsia" w:eastAsia="仿宋_GB2312"/>
          <w:sz w:val="32"/>
          <w:szCs w:val="32"/>
        </w:rPr>
        <w:t>残保低保有线电视困难补助等方面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；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2024年度本部门无政府性基金安排的支出，所以公开的附件15-17表（政府性基金预算）为空。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yellow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</w:t>
      </w:r>
      <w:r>
        <w:rPr>
          <w:rFonts w:hint="eastAsia" w:eastAsia="仿宋_GB2312"/>
          <w:sz w:val="32"/>
          <w:szCs w:val="32"/>
          <w:lang w:eastAsia="zh-CN"/>
        </w:rPr>
        <w:t>岳阳市君山区融媒体中心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运行经费30万元，比上年预算下降15.92%。主要原因是财政厉行节约减少了公用经费预算资金。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（二）“三公”经费预算：</w:t>
      </w:r>
      <w:bookmarkStart w:id="5" w:name="_GoBack"/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2024年本部门“三公”经费预算数为2.8万元，其中，公务接待费2.8万元，公务用车购置及运行费0万元（其中，公务用车购置费0万元，公务用车运行费0万元），因公出国（境）费0万元。2024</w:t>
      </w:r>
      <w:bookmarkStart w:id="1" w:name="DIS_MARK_IS_ZERO_06_2"/>
      <w:bookmarkEnd w:id="1"/>
      <w:bookmarkStart w:id="2" w:name="START_IS_ZERO_06_2"/>
      <w:bookmarkEnd w:id="2"/>
      <w:bookmarkStart w:id="3" w:name="END_IS_ZERO_06_1"/>
      <w:bookmarkEnd w:id="3"/>
      <w:bookmarkStart w:id="4" w:name="END_IS_ZERO_06_2"/>
      <w:bookmarkEnd w:id="4"/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年“三公”经费预算较2023年基本持平，主要是按照党中央、国务院关于过“紧日子”和坚持厉行节约反对浪费的要求，进一步严格公务接待费支出管理。</w:t>
      </w:r>
    </w:p>
    <w:bookmarkEnd w:id="5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（三）一般性支出情况：</w:t>
      </w:r>
      <w:r>
        <w:rPr>
          <w:rFonts w:hint="eastAsia" w:eastAsia="仿宋_GB2312"/>
          <w:sz w:val="32"/>
          <w:szCs w:val="32"/>
          <w:lang w:eastAsia="zh-CN"/>
        </w:rPr>
        <w:t>202</w:t>
      </w:r>
      <w:r>
        <w:rPr>
          <w:rFonts w:hint="eastAsia" w:eastAsia="仿宋_GB2312"/>
          <w:sz w:val="32"/>
          <w:szCs w:val="32"/>
          <w:lang w:val="en-US" w:eastAsia="zh-CN"/>
        </w:rPr>
        <w:t>4</w:t>
      </w:r>
      <w:r>
        <w:rPr>
          <w:rFonts w:hint="eastAsia" w:eastAsia="仿宋_GB2312"/>
          <w:sz w:val="32"/>
          <w:szCs w:val="32"/>
        </w:rPr>
        <w:t>年本部门会议费预算</w:t>
      </w:r>
      <w:r>
        <w:rPr>
          <w:rFonts w:hint="eastAsia" w:eastAsia="仿宋_GB2312"/>
          <w:sz w:val="32"/>
          <w:szCs w:val="32"/>
          <w:lang w:val="en-US" w:eastAsia="zh-CN"/>
        </w:rPr>
        <w:t>0</w:t>
      </w:r>
      <w:r>
        <w:rPr>
          <w:rFonts w:hint="eastAsia" w:eastAsia="仿宋_GB2312"/>
          <w:sz w:val="32"/>
          <w:szCs w:val="32"/>
        </w:rPr>
        <w:t>万元，拟召开</w:t>
      </w:r>
      <w:r>
        <w:rPr>
          <w:rFonts w:hint="eastAsia" w:eastAsia="仿宋_GB2312"/>
          <w:sz w:val="32"/>
          <w:szCs w:val="32"/>
          <w:lang w:val="en-US" w:eastAsia="zh-CN"/>
        </w:rPr>
        <w:t>0次</w:t>
      </w:r>
      <w:r>
        <w:rPr>
          <w:rFonts w:hint="eastAsia" w:eastAsia="仿宋_GB2312"/>
          <w:sz w:val="32"/>
          <w:szCs w:val="32"/>
        </w:rPr>
        <w:t>会议，人数</w:t>
      </w:r>
      <w:r>
        <w:rPr>
          <w:rFonts w:hint="eastAsia" w:eastAsia="仿宋_GB2312"/>
          <w:sz w:val="32"/>
          <w:szCs w:val="32"/>
          <w:lang w:val="en-US" w:eastAsia="zh-CN"/>
        </w:rPr>
        <w:t>0</w:t>
      </w:r>
      <w:r>
        <w:rPr>
          <w:rFonts w:hint="eastAsia" w:eastAsia="仿宋_GB2312"/>
          <w:sz w:val="32"/>
          <w:szCs w:val="32"/>
        </w:rPr>
        <w:t>人；培训费预算</w:t>
      </w:r>
      <w:r>
        <w:rPr>
          <w:rFonts w:hint="eastAsia" w:eastAsia="仿宋_GB2312"/>
          <w:sz w:val="32"/>
          <w:szCs w:val="32"/>
          <w:lang w:val="en-US" w:eastAsia="zh-CN"/>
        </w:rPr>
        <w:t>0</w:t>
      </w:r>
      <w:r>
        <w:rPr>
          <w:rFonts w:hint="eastAsia" w:eastAsia="仿宋_GB2312"/>
          <w:sz w:val="32"/>
          <w:szCs w:val="32"/>
        </w:rPr>
        <w:t>万元，拟开展</w:t>
      </w:r>
      <w:r>
        <w:rPr>
          <w:rFonts w:hint="eastAsia" w:eastAsia="仿宋_GB2312"/>
          <w:sz w:val="32"/>
          <w:szCs w:val="32"/>
          <w:lang w:val="en-US" w:eastAsia="zh-CN"/>
        </w:rPr>
        <w:t>0次</w:t>
      </w:r>
      <w:r>
        <w:rPr>
          <w:rFonts w:hint="eastAsia" w:eastAsia="仿宋_GB2312"/>
          <w:sz w:val="32"/>
          <w:szCs w:val="32"/>
        </w:rPr>
        <w:t>培训，人数</w:t>
      </w:r>
      <w:r>
        <w:rPr>
          <w:rFonts w:hint="eastAsia" w:eastAsia="仿宋_GB2312"/>
          <w:sz w:val="32"/>
          <w:szCs w:val="32"/>
          <w:lang w:val="en-US" w:eastAsia="zh-CN"/>
        </w:rPr>
        <w:t>0</w:t>
      </w:r>
      <w:r>
        <w:rPr>
          <w:rFonts w:hint="eastAsia" w:eastAsia="仿宋_GB2312"/>
          <w:sz w:val="32"/>
          <w:szCs w:val="32"/>
        </w:rPr>
        <w:t>人；</w:t>
      </w:r>
      <w:r>
        <w:rPr>
          <w:rFonts w:hint="eastAsia" w:eastAsia="仿宋_GB2312"/>
          <w:sz w:val="32"/>
          <w:szCs w:val="32"/>
          <w:lang w:eastAsia="zh-CN"/>
        </w:rPr>
        <w:t>未计划举办</w:t>
      </w:r>
      <w:r>
        <w:rPr>
          <w:rFonts w:hint="eastAsia" w:eastAsia="仿宋_GB2312"/>
          <w:sz w:val="32"/>
          <w:szCs w:val="32"/>
        </w:rPr>
        <w:t>节庆、晚会、论坛、赛事活动，经费预算</w:t>
      </w:r>
      <w:r>
        <w:rPr>
          <w:rFonts w:hint="eastAsia" w:eastAsia="仿宋_GB2312"/>
          <w:sz w:val="32"/>
          <w:szCs w:val="32"/>
          <w:lang w:val="en-US" w:eastAsia="zh-CN"/>
        </w:rPr>
        <w:t>0</w:t>
      </w:r>
      <w:r>
        <w:rPr>
          <w:rFonts w:hint="eastAsia" w:eastAsia="仿宋_GB2312"/>
          <w:sz w:val="32"/>
          <w:szCs w:val="32"/>
        </w:rPr>
        <w:t>万元</w:t>
      </w:r>
      <w:r>
        <w:rPr>
          <w:rFonts w:hint="eastAsia" w:eastAsia="仿宋_GB2312"/>
          <w:sz w:val="32"/>
          <w:szCs w:val="32"/>
          <w:lang w:eastAsia="zh-CN"/>
        </w:rPr>
        <w:t>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2024年本部门政府采购预算总额82.53万元，其中，货物类采购预算13.8万元；工程类采购预算0万元；服务类采购预算68.73万元。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60"/>
        <w:jc w:val="left"/>
        <w:textAlignment w:val="auto"/>
        <w:rPr>
          <w:rFonts w:eastAsia="仿宋_GB2312"/>
          <w:bCs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（五）国有资产占用使用及新增资产配置情况：</w:t>
      </w:r>
      <w:r>
        <w:rPr>
          <w:rFonts w:eastAsia="仿宋_GB2312"/>
          <w:sz w:val="32"/>
          <w:szCs w:val="32"/>
        </w:rPr>
        <w:t>截至</w:t>
      </w:r>
      <w:r>
        <w:rPr>
          <w:rFonts w:hint="eastAsia" w:eastAsia="仿宋_GB2312"/>
          <w:sz w:val="32"/>
          <w:szCs w:val="32"/>
        </w:rPr>
        <w:t>202</w:t>
      </w:r>
      <w:r>
        <w:rPr>
          <w:rFonts w:hint="eastAsia" w:eastAsia="仿宋_GB2312"/>
          <w:sz w:val="32"/>
          <w:szCs w:val="32"/>
          <w:lang w:val="en-US" w:eastAsia="zh-CN"/>
        </w:rPr>
        <w:t>3</w:t>
      </w:r>
      <w:r>
        <w:rPr>
          <w:rFonts w:eastAsia="仿宋_GB2312"/>
          <w:sz w:val="32"/>
          <w:szCs w:val="32"/>
        </w:rPr>
        <w:t>年12月底，本部门</w:t>
      </w:r>
      <w:r>
        <w:rPr>
          <w:rFonts w:eastAsia="仿宋_GB2312"/>
          <w:bCs/>
          <w:kern w:val="0"/>
          <w:sz w:val="32"/>
          <w:szCs w:val="32"/>
        </w:rPr>
        <w:t>共有公务用车</w:t>
      </w:r>
      <w:r>
        <w:rPr>
          <w:rFonts w:hint="eastAsia" w:eastAsia="仿宋_GB2312"/>
          <w:bCs/>
          <w:kern w:val="0"/>
          <w:sz w:val="32"/>
          <w:szCs w:val="32"/>
          <w:lang w:val="en-US" w:eastAsia="zh-CN"/>
        </w:rPr>
        <w:t>0</w:t>
      </w:r>
      <w:r>
        <w:rPr>
          <w:rFonts w:eastAsia="仿宋_GB2312"/>
          <w:bCs/>
          <w:kern w:val="0"/>
          <w:sz w:val="32"/>
          <w:szCs w:val="32"/>
        </w:rPr>
        <w:t>辆，其中，机要通信用车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 xml:space="preserve">  辆，应急保障用车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辆，执法执勤用车</w:t>
      </w:r>
      <w:r>
        <w:rPr>
          <w:rFonts w:hint="eastAsia" w:eastAsia="仿宋_GB2312"/>
          <w:bCs/>
          <w:kern w:val="0"/>
          <w:sz w:val="32"/>
          <w:szCs w:val="32"/>
          <w:lang w:val="en-US" w:eastAsia="zh-CN"/>
        </w:rPr>
        <w:t>0</w:t>
      </w:r>
      <w:r>
        <w:rPr>
          <w:rFonts w:eastAsia="仿宋_GB2312"/>
          <w:bCs/>
          <w:kern w:val="0"/>
          <w:sz w:val="32"/>
          <w:szCs w:val="32"/>
        </w:rPr>
        <w:t>辆，特种专业技术用车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辆，其他按照规定配备的公务用车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辆；单位价值50万元以上通用设备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台，单位价值100万元以上专用设备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台。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60"/>
        <w:jc w:val="left"/>
        <w:textAlignment w:val="auto"/>
        <w:rPr>
          <w:rFonts w:eastAsia="仿宋_GB2312"/>
          <w:bCs/>
          <w:kern w:val="0"/>
          <w:sz w:val="32"/>
          <w:szCs w:val="32"/>
        </w:rPr>
      </w:pPr>
      <w:r>
        <w:rPr>
          <w:rFonts w:hint="eastAsia" w:eastAsia="仿宋_GB2312"/>
          <w:bCs/>
          <w:kern w:val="0"/>
          <w:sz w:val="32"/>
          <w:szCs w:val="32"/>
        </w:rPr>
        <w:t>202</w:t>
      </w:r>
      <w:r>
        <w:rPr>
          <w:rFonts w:hint="eastAsia" w:eastAsia="仿宋_GB2312"/>
          <w:bCs/>
          <w:kern w:val="0"/>
          <w:sz w:val="32"/>
          <w:szCs w:val="32"/>
          <w:lang w:val="en-US" w:eastAsia="zh-CN"/>
        </w:rPr>
        <w:t>4</w:t>
      </w:r>
      <w:r>
        <w:rPr>
          <w:rFonts w:eastAsia="仿宋_GB2312"/>
          <w:bCs/>
          <w:kern w:val="0"/>
          <w:sz w:val="32"/>
          <w:szCs w:val="32"/>
        </w:rPr>
        <w:t>年拟新增配置公务用车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辆，其中，机要通信用车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辆，应急保障用车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辆，执法执勤用车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辆，特种专业技术用车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辆，其他按照规定配备的公务用车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辆；新增配备单位价值50万元以上通用设备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台，单位价值100万元以上专用设备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本部门所有支出实行绩效目标管理。纳入2024年部门整体支出绩效目标的金额为479.17万元，其中，基本支出358.37万元，项目支出120.8万元，具体绩效目标详见文尾附表中部门预算公开表格的表21-22。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附件：岳阳市君山区融媒体中心2024年部门预算公开表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11038EA"/>
    <w:multiLevelType w:val="singleLevel"/>
    <w:tmpl w:val="511038EA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k4OWI1YTBjMDVmMmNiM2E1MjU2ZTkzMDY0OTdlNjQifQ=="/>
  </w:docVars>
  <w:rsids>
    <w:rsidRoot w:val="637274E6"/>
    <w:rsid w:val="00857C69"/>
    <w:rsid w:val="02412BCB"/>
    <w:rsid w:val="02FA7BB8"/>
    <w:rsid w:val="03631DE8"/>
    <w:rsid w:val="043B6A0E"/>
    <w:rsid w:val="05DE428D"/>
    <w:rsid w:val="05ED25F6"/>
    <w:rsid w:val="079242AE"/>
    <w:rsid w:val="085D0C84"/>
    <w:rsid w:val="0992531D"/>
    <w:rsid w:val="0A0D382D"/>
    <w:rsid w:val="0AAB3DE7"/>
    <w:rsid w:val="0B0E3992"/>
    <w:rsid w:val="0D2835D5"/>
    <w:rsid w:val="0ED939EE"/>
    <w:rsid w:val="0EDD3A99"/>
    <w:rsid w:val="105A6709"/>
    <w:rsid w:val="13385187"/>
    <w:rsid w:val="144178C3"/>
    <w:rsid w:val="167C1082"/>
    <w:rsid w:val="168E55F8"/>
    <w:rsid w:val="16B94831"/>
    <w:rsid w:val="18844C6D"/>
    <w:rsid w:val="189316FC"/>
    <w:rsid w:val="1C591153"/>
    <w:rsid w:val="1C744CBF"/>
    <w:rsid w:val="1CD25B13"/>
    <w:rsid w:val="1D6E31FC"/>
    <w:rsid w:val="1D85581C"/>
    <w:rsid w:val="1F9E673F"/>
    <w:rsid w:val="1FD800E8"/>
    <w:rsid w:val="200307FA"/>
    <w:rsid w:val="20A420AE"/>
    <w:rsid w:val="22DF4F83"/>
    <w:rsid w:val="2309444A"/>
    <w:rsid w:val="230C7214"/>
    <w:rsid w:val="24302B07"/>
    <w:rsid w:val="243D1BD3"/>
    <w:rsid w:val="256B3D61"/>
    <w:rsid w:val="264178B0"/>
    <w:rsid w:val="26962633"/>
    <w:rsid w:val="26E130FE"/>
    <w:rsid w:val="284C415A"/>
    <w:rsid w:val="28C11323"/>
    <w:rsid w:val="29C372D4"/>
    <w:rsid w:val="29EC6874"/>
    <w:rsid w:val="2A351017"/>
    <w:rsid w:val="2BE30FD2"/>
    <w:rsid w:val="2D6329A9"/>
    <w:rsid w:val="2DA53533"/>
    <w:rsid w:val="305B1762"/>
    <w:rsid w:val="305C2E10"/>
    <w:rsid w:val="3085088F"/>
    <w:rsid w:val="31A800DF"/>
    <w:rsid w:val="324A2389"/>
    <w:rsid w:val="32627A4B"/>
    <w:rsid w:val="32865768"/>
    <w:rsid w:val="328E45E1"/>
    <w:rsid w:val="328F1D91"/>
    <w:rsid w:val="32C66482"/>
    <w:rsid w:val="34521626"/>
    <w:rsid w:val="35683252"/>
    <w:rsid w:val="36BE748E"/>
    <w:rsid w:val="36CB7059"/>
    <w:rsid w:val="38E3475C"/>
    <w:rsid w:val="3951638D"/>
    <w:rsid w:val="399E27B0"/>
    <w:rsid w:val="3A242018"/>
    <w:rsid w:val="3C925059"/>
    <w:rsid w:val="43666CD0"/>
    <w:rsid w:val="439A3AE1"/>
    <w:rsid w:val="44E16B7D"/>
    <w:rsid w:val="4679477B"/>
    <w:rsid w:val="472973EE"/>
    <w:rsid w:val="477C3FDA"/>
    <w:rsid w:val="47E411CF"/>
    <w:rsid w:val="47F15FD3"/>
    <w:rsid w:val="490966A2"/>
    <w:rsid w:val="496F41C2"/>
    <w:rsid w:val="4AD36F68"/>
    <w:rsid w:val="4B5D43D7"/>
    <w:rsid w:val="4BC03402"/>
    <w:rsid w:val="4DBF1A26"/>
    <w:rsid w:val="4EC2028E"/>
    <w:rsid w:val="4EE728E7"/>
    <w:rsid w:val="50447689"/>
    <w:rsid w:val="51B004D2"/>
    <w:rsid w:val="52A91D7A"/>
    <w:rsid w:val="54A70CC5"/>
    <w:rsid w:val="56301712"/>
    <w:rsid w:val="5681523A"/>
    <w:rsid w:val="576A0C54"/>
    <w:rsid w:val="59B84DD8"/>
    <w:rsid w:val="5A1535D7"/>
    <w:rsid w:val="5A380B96"/>
    <w:rsid w:val="5BD14DFE"/>
    <w:rsid w:val="5D7F32CE"/>
    <w:rsid w:val="5F3F29C6"/>
    <w:rsid w:val="60884CBD"/>
    <w:rsid w:val="609E2E6B"/>
    <w:rsid w:val="60B230E1"/>
    <w:rsid w:val="636D1293"/>
    <w:rsid w:val="637274E6"/>
    <w:rsid w:val="63894210"/>
    <w:rsid w:val="662F72F1"/>
    <w:rsid w:val="66B263EF"/>
    <w:rsid w:val="69175946"/>
    <w:rsid w:val="69F35F40"/>
    <w:rsid w:val="6B49147A"/>
    <w:rsid w:val="6B774F76"/>
    <w:rsid w:val="6C0749A4"/>
    <w:rsid w:val="6C1B6290"/>
    <w:rsid w:val="6C5E2742"/>
    <w:rsid w:val="6CB542C8"/>
    <w:rsid w:val="6CC62031"/>
    <w:rsid w:val="6E3062F6"/>
    <w:rsid w:val="7076663E"/>
    <w:rsid w:val="70AE175A"/>
    <w:rsid w:val="70F92319"/>
    <w:rsid w:val="711E3D29"/>
    <w:rsid w:val="718A5D23"/>
    <w:rsid w:val="728C4B01"/>
    <w:rsid w:val="729A1F96"/>
    <w:rsid w:val="739C7F8F"/>
    <w:rsid w:val="73BE1EBD"/>
    <w:rsid w:val="74232EF6"/>
    <w:rsid w:val="748B04A5"/>
    <w:rsid w:val="74D47E83"/>
    <w:rsid w:val="753F0C2D"/>
    <w:rsid w:val="76B352F7"/>
    <w:rsid w:val="77DE623F"/>
    <w:rsid w:val="78CC0C1A"/>
    <w:rsid w:val="791A5BDE"/>
    <w:rsid w:val="7ACF5EE7"/>
    <w:rsid w:val="7C0A6716"/>
    <w:rsid w:val="7C8E41ED"/>
    <w:rsid w:val="7C9338B5"/>
    <w:rsid w:val="7E727695"/>
    <w:rsid w:val="7EBE525E"/>
    <w:rsid w:val="7F6D60FB"/>
    <w:rsid w:val="7F781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autoRedefine/>
    <w:qFormat/>
    <w:uiPriority w:val="0"/>
    <w:pPr>
      <w:ind w:firstLine="420"/>
    </w:pPr>
    <w:rPr>
      <w:szCs w:val="20"/>
    </w:rPr>
  </w:style>
  <w:style w:type="paragraph" w:styleId="3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page number"/>
    <w:qFormat/>
    <w:uiPriority w:val="0"/>
  </w:style>
  <w:style w:type="character" w:styleId="9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themeOverride" Target="../theme/themeOverrid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0" vertOverflow="ellipsis" vert="horz" wrap="square" anchor="ctr" anchorCtr="1" forceAA="0"/>
          <a:lstStyle/>
          <a:p>
            <a:pPr>
              <a:defRPr lang="zh-CN" sz="1400" b="0" i="0" u="none" strike="noStrike" kern="1200" spc="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25"/>
      <c:rotY val="0"/>
      <c:depthPercent val="100"/>
      <c:rAngAx val="0"/>
      <c:perspective val="2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spPr>
            <a:ln w="15875" cmpd="sng">
              <a:solidFill>
                <a:schemeClr val="bg1"/>
              </a:solidFill>
              <a:prstDash val="solid"/>
            </a:ln>
            <a:effectLst/>
            <a:scene3d>
              <a:camera prst="orthographicFront"/>
              <a:lightRig rig="threePt" dir="t"/>
            </a:scene3d>
            <a:sp3d contourW="15875" prstMaterial="flat"/>
          </c:spPr>
          <c:explosion val="0"/>
          <c:dPt>
            <c:idx val="0"/>
            <c:bubble3D val="0"/>
            <c:spPr>
              <a:gradFill>
                <a:gsLst>
                  <a:gs pos="0">
                    <a:schemeClr val="accent1">
                      <a:lumMod val="60000"/>
                      <a:lumOff val="40000"/>
                    </a:schemeClr>
                  </a:gs>
                  <a:gs pos="70000">
                    <a:schemeClr val="accent1"/>
                  </a:gs>
                </a:gsLst>
                <a:lin ang="13500000" scaled="0"/>
              </a:gradFill>
              <a:ln w="15875" cmpd="sng">
                <a:solidFill>
                  <a:schemeClr val="accent1">
                    <a:lumMod val="75000"/>
                  </a:schemeClr>
                </a:solidFill>
                <a:prstDash val="solid"/>
              </a:ln>
              <a:effectLst/>
              <a:scene3d>
                <a:camera prst="orthographicFront"/>
                <a:lightRig rig="threePt" dir="t"/>
              </a:scene3d>
              <a:sp3d contourW="15875" prstMaterial="flat"/>
            </c:spPr>
          </c:dPt>
          <c:dLbls>
            <c:dLbl>
              <c:idx val="0"/>
              <c:layout/>
              <c:numFmt formatCode="General" sourceLinked="1"/>
              <c:spPr>
                <a:noFill/>
                <a:ln>
                  <a:noFill/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 forceAA="0"/>
                <a:lstStyle/>
                <a:p>
                  <a:pPr>
                    <a:defRPr lang="zh-CN" sz="900" b="0" i="0" u="none" strike="noStrike" kern="1200" baseline="0">
                      <a:solidFill>
                        <a:schemeClr val="bg1"/>
                      </a:solidFill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inEnd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General" sourceLinked="1"/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 forceAA="0"/>
              <a:lstStyle/>
              <a:p>
                <a:pPr>
                  <a:defRPr lang="zh-CN" sz="900" b="0" i="0" u="none" strike="noStrike" kern="1200" baseline="0">
                    <a:solidFill>
                      <a:schemeClr val="bg1"/>
                    </a:solidFill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  <a:latin typeface="+mn-lt"/>
                    <a:ea typeface="+mn-ea"/>
                    <a:cs typeface="+mn-cs"/>
                  </a:defRPr>
                </a:pPr>
              </a:p>
            </c:txPr>
            <c:dLblPos val="inEnd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extLst>
                <c:ext xmlns:c15="http://schemas.microsoft.com/office/drawing/2012/chart" uri="{02D57815-91ED-43cb-92C2-25804820EDAC}">
                  <c15:fullRef>
                    <c15:sqref>[收入预算图.xlsx]Sheet1!$B$31:$B$32</c15:sqref>
                  </c15:fullRef>
                </c:ext>
              </c:extLst>
              <c:f>[收入预算图.xlsx]Sheet1!$B$31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extLst>
                <c:ext xmlns:c15="http://schemas.microsoft.com/office/drawing/2012/chart" uri="{02D57815-91ED-43cb-92C2-25804820EDAC}">
                  <c15:fullRef>
                    <c15:sqref>Sheet1!$C$31:$C$32</c15:sqref>
                  </c15:fullRef>
                </c:ext>
              </c:extLst>
              <c:f>[收入预算图.xlsx]Sheet1!$C$31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r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 forceAA="0"/>
        <a:lstStyle/>
        <a:p>
          <a:pPr>
            <a:defRPr lang="zh-CN" sz="900" b="0" i="0" u="none" strike="noStrike" kern="1200" baseline="0">
              <a:solidFill>
                <a:schemeClr val="tx1">
                  <a:lumMod val="50000"/>
                  <a:lumOff val="50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bg1">
          <a:lumMod val="85000"/>
        </a:schemeClr>
      </a:solidFill>
      <a:prstDash val="solid"/>
      <a:round/>
    </a:ln>
    <a:effectLst>
      <a:outerShdw blurRad="63500" dist="37357" dir="2700000" sx="0" sy="0" rotWithShape="0">
        <a:scrgbClr r="0" g="0" b="0"/>
      </a:outerShdw>
    </a:effectLst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>
        <c:manualLayout>
          <c:layoutTarget val="inner"/>
          <c:xMode val="edge"/>
          <c:yMode val="edge"/>
          <c:x val="0.115753557121149"/>
          <c:y val="0.375044435040203"/>
          <c:w val="0.826511949164249"/>
          <c:h val="0.612797291578502"/>
        </c:manualLayout>
      </c:layout>
      <c:pie3D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 contourW="9525"/>
          </c:spPr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3"/>
            <c:bubble3D val="0"/>
            <c:spPr>
              <a:gradFill>
                <a:gsLst>
                  <a:gs pos="100000">
                    <a:schemeClr val="accent4"/>
                  </a:gs>
                  <a:gs pos="0">
                    <a:schemeClr val="accent4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4">
                        <a:lumMod val="75000"/>
                      </a:schemeClr>
                    </a:gs>
                    <a:gs pos="0">
                      <a:schemeClr val="accent4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4"/>
            <c:bubble3D val="0"/>
            <c:spPr>
              <a:gradFill>
                <a:gsLst>
                  <a:gs pos="100000">
                    <a:schemeClr val="accent5"/>
                  </a:gs>
                  <a:gs pos="0">
                    <a:schemeClr val="accent5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5">
                        <a:lumMod val="75000"/>
                      </a:schemeClr>
                    </a:gs>
                    <a:gs pos="0">
                      <a:schemeClr val="accent5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  <a:scene3d>
                <a:camera prst="orthographicFront"/>
                <a:lightRig rig="threePt" dir="t"/>
              </a:scene3d>
              <a:sp3d contourW="9525"/>
            </c:spPr>
          </c:dPt>
          <c:dLbls>
            <c:dLbl>
              <c:idx val="0"/>
              <c:layout>
                <c:manualLayout>
                  <c:x val="-0.04247704510012"/>
                  <c:y val="-0.0260843754663788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0.192287838975576"/>
                  <c:y val="0.0165572784738961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0.393755704289626"/>
                  <c:y val="0.162403517084031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0.300160436506772"/>
                  <c:y val="0.248883797453108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[收入预算图.xlsx]Sheet1!$B$2:$B$6</c:f>
              <c:strCache>
                <c:ptCount val="5"/>
                <c:pt idx="0">
                  <c:v>社会保障和就业支出</c:v>
                </c:pt>
                <c:pt idx="1">
                  <c:v>卫生健康支出</c:v>
                </c:pt>
                <c:pt idx="2">
                  <c:v>住房保障支出</c:v>
                </c:pt>
                <c:pt idx="3">
                  <c:v>文化旅游体育与传媒支出</c:v>
                </c:pt>
                <c:pt idx="4">
                  <c:v>科学技术支出</c:v>
                </c:pt>
              </c:strCache>
            </c:strRef>
          </c:cat>
          <c:val>
            <c:numRef>
              <c:f>[收入预算图.xlsx]Sheet1!$C$2:$C$6</c:f>
              <c:numCache>
                <c:formatCode>0.00%</c:formatCode>
                <c:ptCount val="5"/>
                <c:pt idx="0">
                  <c:v>0.1307</c:v>
                </c:pt>
                <c:pt idx="1">
                  <c:v>0.0342</c:v>
                </c:pt>
                <c:pt idx="2">
                  <c:v>0.0558</c:v>
                </c:pt>
                <c:pt idx="3">
                  <c:v>0.579</c:v>
                </c:pt>
                <c:pt idx="4">
                  <c:v>0.2003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word/theme/themeOverride1.xml><?xml version="1.0" encoding="utf-8"?>
<a:themeOverride xmlns:a="http://schemas.openxmlformats.org/drawingml/2006/main">
  <a:clrScheme name="自定义 6">
    <a:dk1>
      <a:srgbClr val="000000"/>
    </a:dk1>
    <a:lt1>
      <a:srgbClr val="FFFFFF"/>
    </a:lt1>
    <a:dk2>
      <a:srgbClr val="0C0E1F"/>
    </a:dk2>
    <a:lt2>
      <a:srgbClr val="FEFFFF"/>
    </a:lt2>
    <a:accent1>
      <a:srgbClr val="54C9FA"/>
    </a:accent1>
    <a:accent2>
      <a:srgbClr val="6C92FD"/>
    </a:accent2>
    <a:accent3>
      <a:srgbClr val="FF731F"/>
    </a:accent3>
    <a:accent4>
      <a:srgbClr val="16CC8A"/>
    </a:accent4>
    <a:accent5>
      <a:srgbClr val="FFC619"/>
    </a:accent5>
    <a:accent6>
      <a:srgbClr val="4E37FF"/>
    </a:accent6>
    <a:hlink>
      <a:srgbClr val="304FFE"/>
    </a:hlink>
    <a:folHlink>
      <a:srgbClr val="492067"/>
    </a:folHlink>
  </a:clrScheme>
  <a:fontScheme name="自定义 2">
    <a:majorFont>
      <a:latin typeface="微软雅黑"/>
      <a:ea typeface="微软雅黑"/>
      <a:cs typeface=""/>
    </a:majorFont>
    <a:minorFont>
      <a:latin typeface="微软雅黑"/>
      <a:ea typeface="微软雅黑"/>
      <a:cs typeface="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3766</Words>
  <Characters>4052</Characters>
  <Lines>0</Lines>
  <Paragraphs>0</Paragraphs>
  <TotalTime>5</TotalTime>
  <ScaleCrop>false</ScaleCrop>
  <LinksUpToDate>false</LinksUpToDate>
  <CharactersWithSpaces>4067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李瑞</cp:lastModifiedBy>
  <dcterms:modified xsi:type="dcterms:W3CDTF">2024-06-08T12:06:58Z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DCBC449B05F54E9C87B3F1574B342BFE_13</vt:lpwstr>
  </property>
</Properties>
</file>