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岳阳市君山区机关事务服务中心</w:t>
      </w:r>
    </w:p>
    <w:p>
      <w:pPr>
        <w:spacing w:line="570" w:lineRule="atLeast"/>
        <w:ind w:firstLine="2209" w:firstLineChars="500"/>
        <w:jc w:val="both"/>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Pr>
        <w:jc w:val="cente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both"/>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eastAsia="黑体" w:asciiTheme="minorEastAsia" w:hAnsiTheme="minorEastAsia" w:cstheme="minorEastAsia"/>
          <w:sz w:val="28"/>
          <w:szCs w:val="28"/>
          <w:lang w:eastAsia="zh-CN"/>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left="141" w:leftChars="67" w:firstLine="480" w:firstLineChars="150"/>
        <w:jc w:val="left"/>
        <w:rPr>
          <w:rFonts w:hint="eastAsia" w:eastAsia="仿宋_GB2312"/>
          <w:sz w:val="32"/>
          <w:szCs w:val="32"/>
        </w:rPr>
      </w:pPr>
      <w:r>
        <w:rPr>
          <w:rFonts w:hint="eastAsia" w:eastAsia="仿宋_GB2312"/>
          <w:sz w:val="32"/>
          <w:szCs w:val="32"/>
        </w:rPr>
        <w:t xml:space="preserve"> 岳阳市君山区机关事务服务中心负责按规定做好来区重要客人接待工作；并指导区直各单位、镇(街道)场的党政机关公务接待工作；负责做好区委、区人大、区政府、区政协机关和区直部门的国有资产规范化管理；负责全区公共机构节能、办公用房监督管理工作；负责全区行政单位公务用车的购置、更新、维修、调配、使用等管理工作；负责做好区委、区人大、区政府、区政协会务保障，机关后勤保障服务和物业管理工作，机关食堂和人大政协食堂的运转保障。</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before="120" w:beforeLines="50" w:line="360" w:lineRule="auto"/>
        <w:ind w:left="283" w:leftChars="135" w:firstLine="640" w:firstLineChars="200"/>
        <w:jc w:val="left"/>
        <w:rPr>
          <w:rFonts w:hint="eastAsia" w:eastAsia="仿宋_GB2312"/>
          <w:sz w:val="32"/>
          <w:szCs w:val="32"/>
        </w:rPr>
      </w:pPr>
      <w:r>
        <w:rPr>
          <w:rFonts w:hint="eastAsia" w:eastAsia="仿宋_GB2312"/>
          <w:sz w:val="32"/>
          <w:szCs w:val="32"/>
        </w:rPr>
        <w:t>君山区机关事务服务中心内设办公室、财务股、接待股、公共机构节能股、资产股、公务用车股、后勤服务中心7个机构</w:t>
      </w:r>
      <w:r>
        <w:rPr>
          <w:rFonts w:hint="eastAsia" w:ascii="仿宋" w:hAnsi="仿宋" w:eastAsia="仿宋" w:cs="仿宋_GB2312"/>
          <w:sz w:val="32"/>
          <w:szCs w:val="32"/>
        </w:rPr>
        <w:t>。</w:t>
      </w:r>
      <w:r>
        <w:rPr>
          <w:rFonts w:hint="eastAsia" w:eastAsia="仿宋_GB2312"/>
          <w:sz w:val="32"/>
          <w:szCs w:val="32"/>
        </w:rPr>
        <w:t>现有人数79人，在编在岗15人，劳务派遣37人，原招待所未退休人数11人，原招待所事业退休人数16人。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333333"/>
          <w:spacing w:val="0"/>
          <w:sz w:val="28"/>
          <w:szCs w:val="28"/>
          <w:shd w:val="clear" w:fill="FFFFFF"/>
        </w:rPr>
      </w:pPr>
      <w:bookmarkStart w:id="0" w:name="DEPT_COMPOSE"/>
      <w:r>
        <w:rPr>
          <w:rFonts w:hint="eastAsia" w:eastAsia="仿宋_GB2312"/>
          <w:sz w:val="32"/>
          <w:szCs w:val="32"/>
          <w:lang w:eastAsia="zh-CN"/>
        </w:rPr>
        <w:t>岳阳市君山区机关事务服务中心</w:t>
      </w:r>
      <w:r>
        <w:rPr>
          <w:rFonts w:hint="eastAsia" w:ascii="仿宋_GB2312" w:hAnsi="仿宋_GB2312" w:eastAsia="仿宋_GB2312" w:cs="仿宋_GB2312"/>
          <w:color w:val="000000"/>
          <w:kern w:val="2"/>
          <w:sz w:val="32"/>
          <w:szCs w:val="32"/>
          <w:shd w:val="clear" w:color="auto" w:fill="FFFFFF"/>
          <w:lang w:val="en-US" w:eastAsia="zh-CN" w:bidi="ar-SA"/>
        </w:rPr>
        <w:t>部门只有本级，没有其他二级预算单位，因此，纳入2024年部门预算编制范围的只有</w:t>
      </w:r>
      <w:r>
        <w:rPr>
          <w:rFonts w:hint="eastAsia" w:eastAsia="仿宋_GB2312"/>
          <w:sz w:val="32"/>
          <w:szCs w:val="32"/>
          <w:lang w:eastAsia="zh-CN"/>
        </w:rPr>
        <w:t>岳阳市君山区机关事务服务中心</w:t>
      </w:r>
      <w:r>
        <w:rPr>
          <w:rFonts w:hint="eastAsia" w:ascii="仿宋_GB2312" w:hAnsi="仿宋_GB2312" w:eastAsia="仿宋_GB2312" w:cs="仿宋_GB2312"/>
          <w:color w:val="000000"/>
          <w:kern w:val="2"/>
          <w:sz w:val="32"/>
          <w:szCs w:val="32"/>
          <w:shd w:val="clear" w:color="auto" w:fill="FFFFFF"/>
          <w:lang w:val="en-US" w:eastAsia="zh-CN" w:bidi="ar-SA"/>
        </w:rPr>
        <w:t>本级。</w:t>
      </w:r>
      <w:bookmarkEnd w:id="0"/>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lang w:val="en-US" w:eastAsia="zh-CN"/>
        </w:rPr>
        <w:t>三、</w:t>
      </w:r>
      <w:r>
        <w:rPr>
          <w:rFonts w:hint="eastAsia" w:ascii="Times New Roman" w:hAnsi="Times New Roman" w:eastAsia="黑体" w:cs="Times New Roman"/>
          <w:b/>
          <w:bCs/>
          <w:kern w:val="0"/>
          <w:sz w:val="32"/>
          <w:szCs w:val="32"/>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收入预算：</w:t>
      </w:r>
      <w:r>
        <w:rPr>
          <w:rFonts w:hint="eastAsia" w:ascii="仿宋_GB2312" w:hAnsi="仿宋_GB2312" w:eastAsia="仿宋_GB2312" w:cs="仿宋_GB2312"/>
          <w:color w:val="000000"/>
          <w:kern w:val="2"/>
          <w:sz w:val="32"/>
          <w:szCs w:val="32"/>
          <w:shd w:val="clear" w:color="auto" w:fill="FFFFFF"/>
          <w:lang w:val="en-US" w:eastAsia="zh-CN" w:bidi="ar-SA"/>
        </w:rPr>
        <w:t>包括一般公共预算、政府性基金、国有资本经营预算等财政拨款收入，以及经营收入、事业收入等单位资金。2024年本部门收入预算1254.29万元，其中，一般公共预算拨款1254.29万元，政府性基金预算资金0.00万元(所以公开的附件15-17表为空)，国有资本经营预算资金0.00万元(所以公开的附件18表为空)，财政专户管理资金0.00万元(所以公开的附件19表为空)，上级补助收入资金0.00万元，事业单位经营收入资金0.00万元，上年结转结余0.00万元(数据来源见表2)。收入较上年减少157.94万元，下降11.18%。主要原因是2023年有150万的收入是政务中心的自动化办公系统，2024年已完结。</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1254.29万元，其中：社会保障和就业支出60.77万元，卫生健康支出9.95万元，一般公共服务支出1168.37万元，住房保障支出15.2万元。支出较上年减少157.94万元，下降11.18%。主要原因是2023年有150万的收入是政务中心的自动化办公系统，2024年已完结。</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1"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2024年本部门一般公共预算拨款支出1254.29万元，其中：社会保障和就业支出60.77万元，占4.85%；卫生健康支出9.95万元，占0.79%；一般公共服务支出1168.37万元，占93.15%</w:t>
      </w:r>
      <w:r>
        <w:rPr>
          <w:rFonts w:hint="eastAsia" w:ascii="仿宋_GB2312" w:hAnsi="仿宋_GB2312" w:eastAsia="仿宋_GB2312" w:cs="仿宋_GB2312"/>
          <w:color w:val="000000"/>
          <w:kern w:val="2"/>
          <w:sz w:val="36"/>
          <w:szCs w:val="36"/>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住房保障支出15.2万元，占1.21%。具体安排情况如下：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2024年本部门基本支出预算数232.51万元，主要是为保障部门正常运转、完成日常工作任务而发生的各项支出，包括用于基本工资、津贴补贴等人员经费以及办公费、印刷费、水电费、办公设备购置等公用经费。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2024年本部门项目支出预算1021.78万元，主要是本单位为完成特定工作任务或事业发展目标而发生的支出，包括有关事业发展专项、专项业务费、基本建设支出等，其中：一般公共服务支出1021.78万元，</w:t>
      </w:r>
      <w:r>
        <w:rPr>
          <w:rFonts w:hint="eastAsia" w:eastAsia="仿宋_GB2312"/>
          <w:sz w:val="32"/>
          <w:szCs w:val="32"/>
        </w:rPr>
        <w:t>主要用于全区公共节能、垃圾分类、国有资产管理及办公用房管理工作开展等方面</w:t>
      </w:r>
      <w:r>
        <w:rPr>
          <w:rFonts w:hint="eastAsia" w:eastAsia="仿宋_GB2312"/>
          <w:sz w:val="32"/>
          <w:szCs w:val="32"/>
          <w:lang w:eastAsia="zh-CN"/>
        </w:rPr>
        <w:t>；</w:t>
      </w:r>
      <w:r>
        <w:rPr>
          <w:rFonts w:hint="eastAsia" w:eastAsia="仿宋_GB2312"/>
          <w:sz w:val="32"/>
          <w:szCs w:val="32"/>
        </w:rPr>
        <w:t>项目支出较上年</w:t>
      </w:r>
      <w:r>
        <w:rPr>
          <w:rFonts w:hint="eastAsia" w:eastAsia="仿宋_GB2312"/>
          <w:sz w:val="32"/>
          <w:szCs w:val="32"/>
          <w:lang w:val="en-US" w:eastAsia="zh-CN"/>
        </w:rPr>
        <w:t>减少141.22</w:t>
      </w:r>
      <w:r>
        <w:rPr>
          <w:rFonts w:hint="eastAsia" w:eastAsia="仿宋_GB2312"/>
          <w:sz w:val="32"/>
          <w:szCs w:val="32"/>
        </w:rPr>
        <w:t>万元，</w:t>
      </w:r>
      <w:r>
        <w:rPr>
          <w:rFonts w:hint="eastAsia" w:ascii="仿宋_GB2312" w:hAnsi="仿宋_GB2312" w:eastAsia="仿宋_GB2312" w:cs="仿宋_GB2312"/>
          <w:color w:val="000000"/>
          <w:kern w:val="2"/>
          <w:sz w:val="32"/>
          <w:szCs w:val="32"/>
          <w:shd w:val="clear" w:color="auto" w:fill="FFFFFF"/>
          <w:lang w:val="en-US" w:eastAsia="zh-CN" w:bidi="ar-SA"/>
        </w:rPr>
        <w:t>主要原因是2023年有150万的收入是政务中心的自动化办公系统，今年已完结。</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w:t>
      </w:r>
      <w:r>
        <w:rPr>
          <w:rFonts w:hint="eastAsia" w:eastAsia="仿宋_GB2312"/>
          <w:sz w:val="32"/>
          <w:szCs w:val="32"/>
          <w:lang w:eastAsia="zh-CN"/>
        </w:rPr>
        <w:t>岳阳市君山区机关事务服务中心</w:t>
      </w:r>
      <w:r>
        <w:rPr>
          <w:rFonts w:hint="eastAsia" w:ascii="仿宋_GB2312" w:hAnsi="仿宋_GB2312" w:eastAsia="仿宋_GB2312" w:cs="仿宋_GB2312"/>
          <w:color w:val="000000"/>
          <w:kern w:val="2"/>
          <w:sz w:val="32"/>
          <w:szCs w:val="32"/>
          <w:shd w:val="clear" w:color="auto" w:fill="FFFFFF"/>
          <w:lang w:val="en-US" w:eastAsia="zh-CN" w:bidi="ar-SA"/>
        </w:rPr>
        <w:t>运行经费17.33万元，比上年预算下降18.37%。主要原因是厉行节约下调预算经费，造成公用经费预算减少。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177万元，其中，公务接待费15万元，公务用车购置及运行费162万元（其中，公务用车购置费54万元，公务用车运行费108万元），因公出国（境）费0万元。2024年“三公”经费预算较2023年减少45万元，主要原因是严格落实中央“八项规定”精神和“过紧日子”的要求，从严控制“三公”经费支出。</w:t>
      </w:r>
      <w:bookmarkStart w:id="1" w:name="DIS_MARK_IS_ZERO_06_2"/>
      <w:bookmarkEnd w:id="1"/>
      <w:bookmarkStart w:id="2" w:name="START_IS_ZERO_06_2"/>
      <w:bookmarkEnd w:id="2"/>
      <w:bookmarkStart w:id="3" w:name="END_IS_ZERO_06_1"/>
      <w:bookmarkEnd w:id="3"/>
      <w:bookmarkStart w:id="4" w:name="END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2024年本部门会议费预算0万元，拟召开0次会议，人数0人；培训费预算0万元，拟开展0次培训，人数0人；2024年度本部门未计划举办节庆、晚会、论坛、赛事活动。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2024年本部门政府采购预算总额54万元，其中，货物类采购预算54万元；工程类采购预算0万元；服务类采购预算0万元。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37辆，其中，机要通信用车21辆，应急保障用车0辆，执法执勤用车9辆，特种专业技术用车1辆，其他按照规定配备的公务用车6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3辆，其中，机要通信用车0辆，应急保障用车0辆，执法执勤用车0辆，特种专业技术用车0辆，其他按照规定配备的公务用车3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shd w:val="clear" w:color="auto" w:fill="FFFFFF"/>
          <w:lang w:val="en-US" w:eastAsia="zh-CN" w:bidi="ar-SA"/>
        </w:rPr>
        <w:t>本部门所有支出实行绩效目标管理。纳入2024年部门整体支出绩效目标的金额为1254.29万元，其中，基本支出232.51万元，项目支出1021.78万元，具体绩效目标详见文尾附表中部门预算公开表格的表21-22。</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bookmarkStart w:id="5" w:name="_GoBack"/>
      <w:bookmarkEnd w:id="5"/>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附件：岳阳市君山区机关事务服务中心2024年部门预算公开表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zRiMTYxZDMzMTQyMDNkMWFhNjUyY2VhYTE4YTUifQ=="/>
  </w:docVars>
  <w:rsids>
    <w:rsidRoot w:val="637274E6"/>
    <w:rsid w:val="00857C69"/>
    <w:rsid w:val="02412BCB"/>
    <w:rsid w:val="02FA7BB8"/>
    <w:rsid w:val="03631DE8"/>
    <w:rsid w:val="05DE428D"/>
    <w:rsid w:val="05ED25F6"/>
    <w:rsid w:val="079242AE"/>
    <w:rsid w:val="085D0C84"/>
    <w:rsid w:val="0992531D"/>
    <w:rsid w:val="0A0D382D"/>
    <w:rsid w:val="0D2835D5"/>
    <w:rsid w:val="0ED939EE"/>
    <w:rsid w:val="0EDD3A99"/>
    <w:rsid w:val="13385187"/>
    <w:rsid w:val="144178C3"/>
    <w:rsid w:val="167C1082"/>
    <w:rsid w:val="168E55F8"/>
    <w:rsid w:val="16B94831"/>
    <w:rsid w:val="18844C6D"/>
    <w:rsid w:val="1C744CBF"/>
    <w:rsid w:val="1CD25B13"/>
    <w:rsid w:val="1D6E31FC"/>
    <w:rsid w:val="1D85581C"/>
    <w:rsid w:val="1FD800E8"/>
    <w:rsid w:val="200307FA"/>
    <w:rsid w:val="20A420AE"/>
    <w:rsid w:val="22DF4F83"/>
    <w:rsid w:val="230C7214"/>
    <w:rsid w:val="24302B07"/>
    <w:rsid w:val="243D1BD3"/>
    <w:rsid w:val="256B3D61"/>
    <w:rsid w:val="264178B0"/>
    <w:rsid w:val="26962633"/>
    <w:rsid w:val="26E130FE"/>
    <w:rsid w:val="29C372D4"/>
    <w:rsid w:val="29EC6874"/>
    <w:rsid w:val="2A351017"/>
    <w:rsid w:val="2D6329A9"/>
    <w:rsid w:val="2DA53533"/>
    <w:rsid w:val="305B1762"/>
    <w:rsid w:val="305C2E10"/>
    <w:rsid w:val="3085088F"/>
    <w:rsid w:val="31A800DF"/>
    <w:rsid w:val="324A2389"/>
    <w:rsid w:val="32865768"/>
    <w:rsid w:val="328F1D91"/>
    <w:rsid w:val="32C66482"/>
    <w:rsid w:val="34521626"/>
    <w:rsid w:val="35683252"/>
    <w:rsid w:val="36BE748E"/>
    <w:rsid w:val="36CB7059"/>
    <w:rsid w:val="38E3475C"/>
    <w:rsid w:val="3951638D"/>
    <w:rsid w:val="3A242018"/>
    <w:rsid w:val="3CC77A74"/>
    <w:rsid w:val="3D6E7F8E"/>
    <w:rsid w:val="43666CD0"/>
    <w:rsid w:val="472973EE"/>
    <w:rsid w:val="477C3FDA"/>
    <w:rsid w:val="47E411CF"/>
    <w:rsid w:val="47F15FD3"/>
    <w:rsid w:val="490966A2"/>
    <w:rsid w:val="496F41C2"/>
    <w:rsid w:val="4AD36F68"/>
    <w:rsid w:val="4B5D43D7"/>
    <w:rsid w:val="4BC03402"/>
    <w:rsid w:val="4DBF1A26"/>
    <w:rsid w:val="4EC2028E"/>
    <w:rsid w:val="4EE728E7"/>
    <w:rsid w:val="50447689"/>
    <w:rsid w:val="51B004D2"/>
    <w:rsid w:val="52A91D7A"/>
    <w:rsid w:val="54A70CC5"/>
    <w:rsid w:val="56301712"/>
    <w:rsid w:val="5681523A"/>
    <w:rsid w:val="56EC7AC0"/>
    <w:rsid w:val="576A0C54"/>
    <w:rsid w:val="5A054D34"/>
    <w:rsid w:val="5A1535D7"/>
    <w:rsid w:val="5A380B96"/>
    <w:rsid w:val="5D7F32CE"/>
    <w:rsid w:val="5F3F29C6"/>
    <w:rsid w:val="6038523B"/>
    <w:rsid w:val="60884CBD"/>
    <w:rsid w:val="60B230E1"/>
    <w:rsid w:val="636D1293"/>
    <w:rsid w:val="637274E6"/>
    <w:rsid w:val="63894210"/>
    <w:rsid w:val="662F72F1"/>
    <w:rsid w:val="66B263EF"/>
    <w:rsid w:val="69175946"/>
    <w:rsid w:val="6B49147A"/>
    <w:rsid w:val="6C0749A4"/>
    <w:rsid w:val="6C1B6290"/>
    <w:rsid w:val="6C5E2742"/>
    <w:rsid w:val="6CB542C8"/>
    <w:rsid w:val="6CC62031"/>
    <w:rsid w:val="7076663E"/>
    <w:rsid w:val="70AE175A"/>
    <w:rsid w:val="70F92319"/>
    <w:rsid w:val="728C4B01"/>
    <w:rsid w:val="729A1F96"/>
    <w:rsid w:val="739C7F8F"/>
    <w:rsid w:val="73BE1EBD"/>
    <w:rsid w:val="74232EF6"/>
    <w:rsid w:val="748B04A5"/>
    <w:rsid w:val="74D47E83"/>
    <w:rsid w:val="753F0C2D"/>
    <w:rsid w:val="77DE623F"/>
    <w:rsid w:val="78CC0C1A"/>
    <w:rsid w:val="791A5BDE"/>
    <w:rsid w:val="7C9338B5"/>
    <w:rsid w:val="7EBE525E"/>
    <w:rsid w:val="7F6D60FB"/>
    <w:rsid w:val="7F78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67440254178754"/>
          <c:y val="0.302044011849344"/>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04247704510012"/>
                  <c:y val="-0.026084375466378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21836119124768"/>
                  <c:y val="0.035600867132381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一般公共服务支出</c:v>
                </c:pt>
                <c:pt idx="3">
                  <c:v>住房保障支出</c:v>
                </c:pt>
              </c:strCache>
            </c:strRef>
          </c:cat>
          <c:val>
            <c:numRef>
              <c:f>[收入预算图.xlsx]Sheet1!$C$2:$C$5</c:f>
              <c:numCache>
                <c:formatCode>0.00%</c:formatCode>
                <c:ptCount val="4"/>
                <c:pt idx="0">
                  <c:v>0.0484999999999999</c:v>
                </c:pt>
                <c:pt idx="1">
                  <c:v>0.0079</c:v>
                </c:pt>
                <c:pt idx="2">
                  <c:v>0.9315</c:v>
                </c:pt>
                <c:pt idx="3">
                  <c:v>0.0121</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12</Pages>
  <Words>3516</Words>
  <Characters>3832</Characters>
  <Lines>0</Lines>
  <Paragraphs>0</Paragraphs>
  <TotalTime>7</TotalTime>
  <ScaleCrop>false</ScaleCrop>
  <LinksUpToDate>false</LinksUpToDate>
  <CharactersWithSpaces>3845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dell</cp:lastModifiedBy>
  <dcterms:modified xsi:type="dcterms:W3CDTF">2024-06-05T14:39:48Z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AA6161384DF4417F82CE6AEF8ABCBB2E_11</vt:lpwstr>
  </property>
</Properties>
</file>