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共青团岳阳市君山区委员会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eastAsia="黑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领导全区共青团、少先队工作，对全区青少年社团组织进行指导和管理；负责全区团的组织建设；</w:t>
      </w:r>
      <w:r>
        <w:rPr>
          <w:rFonts w:eastAsia="仿宋_GB2312" w:cs="仿宋_GB2312"/>
          <w:kern w:val="0"/>
          <w:sz w:val="32"/>
          <w:szCs w:val="32"/>
        </w:rPr>
        <w:t>认真研究和把握新形势下青年工作的规律，积极探索组织、引导、服务、联系青年的新途径，充分发挥共青团作为党的助手和后备军、党联系青年群众的桥梁纽带作用</w:t>
      </w:r>
      <w:r>
        <w:rPr>
          <w:rFonts w:hint="eastAsia" w:eastAsia="仿宋_GB2312" w:cs="仿宋_GB2312"/>
          <w:kern w:val="0"/>
          <w:sz w:val="32"/>
          <w:szCs w:val="32"/>
        </w:rPr>
        <w:t>；完成领导和上级交办的其它事项。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共青团岳阳市君山区委员会</w:t>
      </w:r>
      <w:r>
        <w:rPr>
          <w:rFonts w:hint="eastAsia" w:eastAsia="仿宋_GB2312" w:cs="仿宋_GB2312"/>
          <w:kern w:val="0"/>
          <w:sz w:val="32"/>
          <w:szCs w:val="32"/>
        </w:rPr>
        <w:t>内设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个职能股室：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综合性办公室</w:t>
      </w:r>
      <w:r>
        <w:rPr>
          <w:rFonts w:hint="eastAsia" w:eastAsia="仿宋_GB2312" w:cs="仿宋_GB2312"/>
          <w:kern w:val="0"/>
          <w:sz w:val="32"/>
          <w:szCs w:val="32"/>
        </w:rPr>
        <w:t>；核定区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团委</w:t>
      </w:r>
      <w:r>
        <w:rPr>
          <w:rFonts w:hint="eastAsia" w:eastAsia="仿宋_GB2312" w:cs="仿宋_GB2312"/>
          <w:kern w:val="0"/>
          <w:sz w:val="32"/>
          <w:szCs w:val="32"/>
        </w:rPr>
        <w:t>机关全额拨款事业编制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</w:rPr>
        <w:t>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书记1名，副书记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DEPT_COMPOSE"/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共青团岳阳市君山区委员会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部门只有本级，没有其他二级预算单位，因此，纳入2024年部门预算编制范围的只有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共青团岳阳市君山区委员会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69.85万元，其中，一般公共预算拨款69.85万元，政府性基金预算资金0.00万元(所以公开的附件15-17表为空)，国有资本经营预算资金0.00万元(所以公开的附件18表为空)，财政专户管理资金0.00万元(所以公开的附件19表为空)，上级补助收入资金0.00万元，事业单位经营收入资金0.00万元，上年结转结余0.00万元。收入较上年增加28.31万元，上升68.15%。主要原因是2024年增加了两名工作人员，从而导致工资福利支出和商品服务支出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69.85万元，其中：社会保障和就业支出3.68万元，卫生健康支出1.99万元，一般公共服务支出61.17万元，住房保障支出3.01万元。支出较上年增加28.31万元，上升68.15%。主要原因是2023年增加了两名工作人员，从而导致工资福利支出和商品服务支出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1714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2024年本部门一般公共预算拨款支出69.85万元，其中：社会保障和就业支出3.68万元，占5.27%；卫生健康支出1.99万元，占2.85%；一般公共服务支出61.17万元，占87.57%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住房保障支出3.01万元，占4.31%。具体安排情况如下：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2024年本部门基本支出预算数40.25万元，主要是为保障部门正常运转、完成日常工作任务而发生的各项支出，包括用于基本工资、津贴补贴等人员经费以及办公费、印刷费、水电费、办公设备购置等公用经费。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29.6万元，主要是本部门为完成特定工作任务或事业发展目标而发生的支出，包括业务工作经费等，其中：一般公共服务支出29.6万元，主要用于完成本部门2024年度开展青少年发展活动等方面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部门机关运行经费5.82万元，比上年预算上升301.38%。主要原因是2024年增加了两名工作人员，公用经费预算增加。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0.14万元，其中，公务接待费0.14万元，公务用车购置及运行费0万元（其中，公务用车购置费0万元，公务用车运行费0万元），因公出国（境）费0万元。2024年“三公”经费预算与2023年持平，主要原因为严格控制了“三公”经费预算支出。</w:t>
      </w:r>
      <w:bookmarkStart w:id="1" w:name="END_IS_ZERO_06_2"/>
      <w:bookmarkEnd w:id="1"/>
      <w:bookmarkStart w:id="2" w:name="END_IS_ZERO_06_1"/>
      <w:bookmarkEnd w:id="2"/>
      <w:bookmarkStart w:id="3" w:name="DIS_MARK_IS_ZERO_06_2"/>
      <w:bookmarkEnd w:id="3"/>
      <w:bookmarkStart w:id="4" w:name="START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2024年本部门会议费预算0万元，拟召开0次会议，人数0人；培训费预算0万元，拟开展0次培训，人数0人；2024年度本部门未计划举办节庆、晚会、论坛、赛事活动，经费预算0万元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2024年本部门政府采购预算总额11.08万元，其中，货物类采购预算4.15万元；工程类采购预算0万元；服务类采购预算6.93万元。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本部门所有支出实行绩效目标管理。纳入2024年部门整体支出绩效目标的金额为69.85万元，其中，基本支出40.25万元，项目支出29.6万元，具体绩效目标详见文尾附表中部门预算公开表格的表21-22。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57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附件：共青团岳阳市君山区委员会2024年部门预算公开表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MTYxZDMzMTQyMDNkMWFhNjUyY2VhYTE4YTUifQ=="/>
  </w:docVars>
  <w:rsids>
    <w:rsidRoot w:val="637274E6"/>
    <w:rsid w:val="00857C69"/>
    <w:rsid w:val="02412BCB"/>
    <w:rsid w:val="02FA7BB8"/>
    <w:rsid w:val="03631DE8"/>
    <w:rsid w:val="05DE428D"/>
    <w:rsid w:val="05ED25F6"/>
    <w:rsid w:val="077158FD"/>
    <w:rsid w:val="079242AE"/>
    <w:rsid w:val="085D0C84"/>
    <w:rsid w:val="0992531D"/>
    <w:rsid w:val="0A0D382D"/>
    <w:rsid w:val="0D2835D5"/>
    <w:rsid w:val="0D2E7A52"/>
    <w:rsid w:val="0EC6316E"/>
    <w:rsid w:val="0ED939EE"/>
    <w:rsid w:val="13385187"/>
    <w:rsid w:val="144178C3"/>
    <w:rsid w:val="14F21E58"/>
    <w:rsid w:val="167C1082"/>
    <w:rsid w:val="168E55F8"/>
    <w:rsid w:val="16B94831"/>
    <w:rsid w:val="18844C6D"/>
    <w:rsid w:val="1C744CBF"/>
    <w:rsid w:val="1CD25B13"/>
    <w:rsid w:val="1D6E31FC"/>
    <w:rsid w:val="1D85581C"/>
    <w:rsid w:val="1ECC70CB"/>
    <w:rsid w:val="1F9659C2"/>
    <w:rsid w:val="1FD800E8"/>
    <w:rsid w:val="200307FA"/>
    <w:rsid w:val="20A420AE"/>
    <w:rsid w:val="22DF4F83"/>
    <w:rsid w:val="230C7214"/>
    <w:rsid w:val="24302B07"/>
    <w:rsid w:val="243D1BD3"/>
    <w:rsid w:val="256B3D61"/>
    <w:rsid w:val="264178B0"/>
    <w:rsid w:val="26962633"/>
    <w:rsid w:val="26E130FE"/>
    <w:rsid w:val="29C372D4"/>
    <w:rsid w:val="29EC6874"/>
    <w:rsid w:val="2A351017"/>
    <w:rsid w:val="2D6329A9"/>
    <w:rsid w:val="2DA53533"/>
    <w:rsid w:val="305B1762"/>
    <w:rsid w:val="305C2E10"/>
    <w:rsid w:val="3085088F"/>
    <w:rsid w:val="30A87329"/>
    <w:rsid w:val="31A800DF"/>
    <w:rsid w:val="324A2389"/>
    <w:rsid w:val="32865768"/>
    <w:rsid w:val="328F1D91"/>
    <w:rsid w:val="32C66482"/>
    <w:rsid w:val="34521626"/>
    <w:rsid w:val="35683252"/>
    <w:rsid w:val="36BE748E"/>
    <w:rsid w:val="36CB7059"/>
    <w:rsid w:val="38E3475C"/>
    <w:rsid w:val="3951638D"/>
    <w:rsid w:val="3A242018"/>
    <w:rsid w:val="43666CD0"/>
    <w:rsid w:val="472973EE"/>
    <w:rsid w:val="477C3FDA"/>
    <w:rsid w:val="47E411CF"/>
    <w:rsid w:val="490966A2"/>
    <w:rsid w:val="496F41C2"/>
    <w:rsid w:val="4AD36F68"/>
    <w:rsid w:val="4B5D43D7"/>
    <w:rsid w:val="4BC03402"/>
    <w:rsid w:val="4DBF1A26"/>
    <w:rsid w:val="4EC2028E"/>
    <w:rsid w:val="4EE728E7"/>
    <w:rsid w:val="4F3C5105"/>
    <w:rsid w:val="50447689"/>
    <w:rsid w:val="505B4793"/>
    <w:rsid w:val="51B004D2"/>
    <w:rsid w:val="52A91D7A"/>
    <w:rsid w:val="54A70CC5"/>
    <w:rsid w:val="56301712"/>
    <w:rsid w:val="5681523A"/>
    <w:rsid w:val="56903F5F"/>
    <w:rsid w:val="576A0C54"/>
    <w:rsid w:val="5A1535D7"/>
    <w:rsid w:val="5A380B96"/>
    <w:rsid w:val="5A5B4C54"/>
    <w:rsid w:val="5D7F32CE"/>
    <w:rsid w:val="5F3F29C6"/>
    <w:rsid w:val="5F67091D"/>
    <w:rsid w:val="60884CBD"/>
    <w:rsid w:val="60B230E1"/>
    <w:rsid w:val="636D1293"/>
    <w:rsid w:val="637274E6"/>
    <w:rsid w:val="63894210"/>
    <w:rsid w:val="662F72F1"/>
    <w:rsid w:val="66B263EF"/>
    <w:rsid w:val="68077DF9"/>
    <w:rsid w:val="69175946"/>
    <w:rsid w:val="6B49147A"/>
    <w:rsid w:val="6C0749A4"/>
    <w:rsid w:val="6C1B6290"/>
    <w:rsid w:val="6C5E2742"/>
    <w:rsid w:val="6CB542C8"/>
    <w:rsid w:val="6CC62031"/>
    <w:rsid w:val="7076663E"/>
    <w:rsid w:val="70AE175A"/>
    <w:rsid w:val="70F92319"/>
    <w:rsid w:val="728C4B01"/>
    <w:rsid w:val="729A1F96"/>
    <w:rsid w:val="739C7F8F"/>
    <w:rsid w:val="73BE1EBD"/>
    <w:rsid w:val="74232EF6"/>
    <w:rsid w:val="748B04A5"/>
    <w:rsid w:val="74D47E83"/>
    <w:rsid w:val="753F0C2D"/>
    <w:rsid w:val="77DE623F"/>
    <w:rsid w:val="78CC0C1A"/>
    <w:rsid w:val="791A5BDE"/>
    <w:rsid w:val="7C9338B5"/>
    <w:rsid w:val="7EBE525E"/>
    <w:rsid w:val="7F6D60FB"/>
    <w:rsid w:val="7F7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Documents\WeChat%20Files\wxid_8uktj8qci1hc22\FileStorage\File\2024-05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383328262853666"/>
                  <c:y val="-0.0292583069094597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79612745329732"/>
                  <c:y val="-0.03739955605847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一般公共服务支出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0.0527000000000001</c:v>
                </c:pt>
                <c:pt idx="1">
                  <c:v>0.0285</c:v>
                </c:pt>
                <c:pt idx="2">
                  <c:v>0.8757</c:v>
                </c:pt>
                <c:pt idx="3">
                  <c:v>0.0431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3262</Words>
  <Characters>3538</Characters>
  <Lines>0</Lines>
  <Paragraphs>0</Paragraphs>
  <TotalTime>5</TotalTime>
  <ScaleCrop>false</ScaleCrop>
  <LinksUpToDate>false</LinksUpToDate>
  <CharactersWithSpaces>3544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dell</cp:lastModifiedBy>
  <dcterms:modified xsi:type="dcterms:W3CDTF">2024-06-09T08:50:20Z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7493B197E01045959C8E75A7DD698A45_13</vt:lpwstr>
  </property>
</Properties>
</file>