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君山区公路建设和养护中心</w:t>
      </w:r>
    </w:p>
    <w:p>
      <w:pPr>
        <w:spacing w:line="570" w:lineRule="atLeast"/>
        <w:ind w:firstLine="2209" w:firstLineChars="500"/>
        <w:jc w:val="both"/>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Pr>
        <w:jc w:val="cente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both"/>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eastAsia="黑体" w:asciiTheme="minorEastAsia" w:hAnsiTheme="minorEastAsia" w:cstheme="minorEastAsia"/>
          <w:sz w:val="28"/>
          <w:szCs w:val="28"/>
          <w:lang w:eastAsia="zh-CN"/>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both"/>
        <w:rPr>
          <w:rFonts w:hint="eastAsia" w:ascii="Times New Roman" w:hAnsi="Times New Roman" w:eastAsia="方正小标宋_GBK" w:cs="Times New Roman"/>
          <w:b/>
          <w:bCs/>
          <w:kern w:val="0"/>
          <w:sz w:val="36"/>
          <w:szCs w:val="36"/>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1、贯彻执行国家和地方关于公路建设、养护、管理工作的方针、政策、法律、法规；负责辖区内国省干线和重要县道的建设、养护工作。</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2、负责所辖公路路网运行监测、预警和路况信息发布，组织实施公路应急物资储备、应急抢险救援；负责公路安全生产管理和公路战备工作。</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3、协助行业主管部门编制辖区内国省干线和重要县道的建设养护发展规划；协调落实国省交通投资计划。</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4、依法保护路产路权，负责所辖公路路产登记管理；负责涉路行政许可的前置技术审核和涉路施工组织方案安全风险评估，执行路损恢复预算计划。</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5、承办区委区政府和上级主管部门交办的其他事项。</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1、君山区公路建设和养护中心设置7个内设机构：办公室、政工股、养护机务股、工程建设股、计划统计股、财务股、安全股；</w:t>
      </w:r>
    </w:p>
    <w:p>
      <w:pPr>
        <w:widowControl/>
        <w:spacing w:line="600" w:lineRule="exact"/>
        <w:ind w:firstLine="640" w:firstLineChars="200"/>
        <w:jc w:val="left"/>
        <w:rPr>
          <w:rFonts w:hint="eastAsia"/>
          <w:sz w:val="32"/>
          <w:szCs w:val="32"/>
        </w:rPr>
      </w:pPr>
      <w:r>
        <w:rPr>
          <w:rFonts w:hint="eastAsia" w:eastAsia="仿宋_GB2312"/>
          <w:sz w:val="32"/>
          <w:szCs w:val="32"/>
          <w:lang w:val="en-US" w:eastAsia="zh-CN"/>
        </w:rPr>
        <w:t>2、其他机构：君山区公路建设和养护中心公路所为君山区公路建设和养护中心所属副科级公益二类全额拨款事业单位，内设干线公路养护站2个，支线公路养护道班1个。</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333333"/>
          <w:spacing w:val="0"/>
          <w:sz w:val="28"/>
          <w:szCs w:val="28"/>
          <w:shd w:val="clear" w:fill="FFFFFF"/>
        </w:rPr>
      </w:pPr>
      <w:bookmarkStart w:id="0" w:name="DEPT_COMPOSE"/>
      <w:r>
        <w:rPr>
          <w:rFonts w:hint="eastAsia" w:eastAsia="仿宋_GB2312"/>
          <w:sz w:val="32"/>
          <w:szCs w:val="32"/>
          <w:lang w:eastAsia="zh-CN"/>
        </w:rPr>
        <w:t>君山区公路建设和养护中心</w:t>
      </w:r>
      <w:r>
        <w:rPr>
          <w:rFonts w:hint="eastAsia" w:ascii="仿宋_GB2312" w:hAnsi="仿宋_GB2312" w:eastAsia="仿宋_GB2312" w:cs="仿宋_GB2312"/>
          <w:color w:val="000000"/>
          <w:kern w:val="2"/>
          <w:sz w:val="32"/>
          <w:szCs w:val="32"/>
          <w:shd w:val="clear" w:color="auto" w:fill="FFFFFF"/>
          <w:lang w:val="en-US" w:eastAsia="zh-CN" w:bidi="ar-SA"/>
        </w:rPr>
        <w:t>部门只有本级，没有其他二级预算单位，因此，纳入2024年部门预算编制范围的只有</w:t>
      </w:r>
      <w:r>
        <w:rPr>
          <w:rFonts w:hint="eastAsia" w:eastAsia="仿宋_GB2312"/>
          <w:sz w:val="32"/>
          <w:szCs w:val="32"/>
          <w:lang w:eastAsia="zh-CN"/>
        </w:rPr>
        <w:t>君山区公路建设和养护中心</w:t>
      </w:r>
      <w:r>
        <w:rPr>
          <w:rFonts w:hint="eastAsia" w:ascii="仿宋_GB2312" w:hAnsi="仿宋_GB2312" w:eastAsia="仿宋_GB2312" w:cs="仿宋_GB2312"/>
          <w:color w:val="000000"/>
          <w:kern w:val="2"/>
          <w:sz w:val="32"/>
          <w:szCs w:val="32"/>
          <w:shd w:val="clear" w:color="auto" w:fill="FFFFFF"/>
          <w:lang w:val="en-US" w:eastAsia="zh-CN" w:bidi="ar-SA"/>
        </w:rPr>
        <w:t>本级。</w:t>
      </w:r>
      <w:bookmarkEnd w:id="0"/>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lang w:val="en-US" w:eastAsia="zh-CN"/>
        </w:rPr>
        <w:t>三、</w:t>
      </w:r>
      <w:r>
        <w:rPr>
          <w:rFonts w:hint="eastAsia" w:ascii="Times New Roman" w:hAnsi="Times New Roman" w:eastAsia="黑体" w:cs="Times New Roman"/>
          <w:b/>
          <w:bCs/>
          <w:kern w:val="0"/>
          <w:sz w:val="32"/>
          <w:szCs w:val="32"/>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收入预算：</w:t>
      </w:r>
      <w:r>
        <w:rPr>
          <w:rFonts w:hint="eastAsia" w:ascii="仿宋_GB2312" w:hAnsi="仿宋_GB2312" w:eastAsia="仿宋_GB2312" w:cs="仿宋_GB2312"/>
          <w:color w:val="000000"/>
          <w:kern w:val="2"/>
          <w:sz w:val="32"/>
          <w:szCs w:val="32"/>
          <w:shd w:val="clear" w:color="auto" w:fill="FFFFFF"/>
          <w:lang w:val="en-US" w:eastAsia="zh-CN" w:bidi="ar-SA"/>
        </w:rPr>
        <w:t>包括一般公共预算、政府性基金、国有资本经营预算等财政拨款收入，以及经营收入、事业收入等单位资金。2024年本部门收入预算1103.01万元，其中，一般公共预算拨款1103.01万元，政府性基金预算资金0.00万元(所以公开的附件15-17表为空)，国有资本经营预算资金0.00万元(所以公开的附件18表为空)，财政专户管理资金0.00万元(所以公开的附件19表为空)，上级补助收入资金0.00万元，事业单位经营收入资金0.00万元，上年结转结余0.00万元。收入较上年减少42.39万元，下降3.7%。主要原因是厉行节约，压缩了一般性支出和业务工作经费支出预算。</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26000" cy="2743200"/>
            <wp:effectExtent l="4445" t="4445" r="8255" b="5270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1103.01万元，其中：社会保障和就业支出133.03万元，卫生健康支出43.19万元，交通运输支出855.69万元，住房保障支出71.1万元。支出较上年减少42.39万元，下降3.7%。主要原因是厉行节约，压缩了一般性支出和业务工作经费支出预算。</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96765" cy="3001010"/>
            <wp:effectExtent l="4445" t="4445" r="8890" b="23495"/>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2024年本部门一般公共预算拨款支出1103.01万元，其中：社会保障和就业支出133.03万元，占12.05%；卫生健康支出43.19万元，占3.92%；交通运输支出855.69万元，占77.58%</w:t>
      </w:r>
      <w:r>
        <w:rPr>
          <w:rFonts w:hint="eastAsia" w:ascii="仿宋_GB2312" w:hAnsi="仿宋_GB2312" w:eastAsia="仿宋_GB2312" w:cs="仿宋_GB2312"/>
          <w:color w:val="000000"/>
          <w:kern w:val="2"/>
          <w:sz w:val="36"/>
          <w:szCs w:val="36"/>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住房保障支出71.1万元，占6.45%。具体安排情况如下：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2024年本部门基本支出预算数919.01万元，主要是为保障部门正常运转、完成日常工作任务而发生的各项支出，包括用于基本工资、津贴补贴等人员经费以及办公费、印刷费、水电费、办公设备购置等公用经费。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2024年本部门项目支出预算184万元，主要是本单位为完成特定工作任务或事业发展目标而发生的支出，包括有关事业发展专项、专项业务费、基本建设支出等，其中：交通运输支出184万元，</w:t>
      </w:r>
      <w:r>
        <w:rPr>
          <w:rFonts w:hint="eastAsia"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val="en-US" w:eastAsia="zh-CN"/>
        </w:rPr>
        <w:t>公路养护维护等支出；用于加强日常养护管理力度，严格抓好质量关，确保管养路段畅、洁、绿、美。</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w:t>
      </w:r>
      <w:r>
        <w:rPr>
          <w:rFonts w:hint="eastAsia" w:eastAsia="仿宋_GB2312"/>
          <w:sz w:val="32"/>
          <w:szCs w:val="32"/>
          <w:lang w:eastAsia="zh-CN"/>
        </w:rPr>
        <w:t>君山区公路建设和养护中心</w:t>
      </w:r>
      <w:r>
        <w:rPr>
          <w:rFonts w:hint="eastAsia" w:ascii="仿宋_GB2312" w:hAnsi="仿宋_GB2312" w:eastAsia="仿宋_GB2312" w:cs="仿宋_GB2312"/>
          <w:color w:val="000000"/>
          <w:kern w:val="2"/>
          <w:sz w:val="32"/>
          <w:szCs w:val="32"/>
          <w:shd w:val="clear" w:color="auto" w:fill="FFFFFF"/>
          <w:lang w:val="en-US" w:eastAsia="zh-CN" w:bidi="ar-SA"/>
        </w:rPr>
        <w:t>运行经费79.2万元，比上年预算下降20.47%。主要原因是本年有4名工作人员退休，导致机关运行经费较上年减少。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0.1万元，其中，公务接待费0.1万元，公务用车购置及运行费0万元（其中，公务用车购置费0万元，公务用车运行费0万元），因公出国（境）费0万元。2024年“三公”经费预算较2023年持平。</w:t>
      </w:r>
      <w:bookmarkStart w:id="1" w:name="END_IS_ZERO_06_1"/>
      <w:bookmarkEnd w:id="1"/>
      <w:bookmarkStart w:id="2" w:name="END_IS_ZERO_06_2"/>
      <w:bookmarkEnd w:id="2"/>
      <w:bookmarkStart w:id="3" w:name="START_IS_ZERO_06_2"/>
      <w:bookmarkEnd w:id="3"/>
      <w:bookmarkStart w:id="4" w:name="DIS_MARK_IS_ZERO_06_2"/>
      <w:bookmarkEnd w:id="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2024年本部门会议费预算0.5万元，拟召开2次会议，人数90人，内容为党建会议；培训费预算2万元，拟开展4次培训，人数350人，内容为养护专业培训；未计划举办节庆、晚会、论坛、赛事活动，经费预算0万元。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2024年本部门政府采购预算总额206.3万元，其中，货物类采购预算10.5万元；工程类采购预算170万元；服务类采购预算25.8万元。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shd w:val="clear" w:color="auto" w:fill="FFFFFF"/>
          <w:lang w:val="en-US" w:eastAsia="zh-CN" w:bidi="ar-SA"/>
        </w:rPr>
        <w:t>本部门所有支出实行绩效目标管理。纳入2024年部门整体支出绩效目标的金额为1103.01万元，其中，基本支出919.01万元，项目支出184万元，具体绩效目标详见文尾附表中部门预算公开表格的表21-22。</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both"/>
        <w:rPr>
          <w:rFonts w:hint="eastAsia" w:ascii="方正小标宋简体" w:hAnsi="Times New Roman" w:eastAsia="方正小标宋简体" w:cs="Times New Roman"/>
          <w:b/>
          <w:bCs/>
          <w:kern w:val="0"/>
          <w:sz w:val="36"/>
          <w:szCs w:val="36"/>
        </w:rPr>
      </w:pPr>
      <w:bookmarkStart w:id="5" w:name="_GoBack"/>
      <w:bookmarkEnd w:id="5"/>
    </w:p>
    <w:p>
      <w:pPr>
        <w:widowControl/>
        <w:jc w:val="center"/>
        <w:rPr>
          <w:rFonts w:hint="eastAsia" w:ascii="方正小标宋简体" w:hAnsi="Times New Roman" w:eastAsia="方正小标宋简体" w:cs="Times New Roman"/>
          <w:b/>
          <w:bCs/>
          <w:kern w:val="0"/>
          <w:sz w:val="36"/>
          <w:szCs w:val="36"/>
        </w:rPr>
      </w:pPr>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附件：君山区公路建设和养护中心2024年部门预算公开表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637274E6"/>
    <w:rsid w:val="00857C69"/>
    <w:rsid w:val="02412BCB"/>
    <w:rsid w:val="02FA7BB8"/>
    <w:rsid w:val="03631DE8"/>
    <w:rsid w:val="0555214E"/>
    <w:rsid w:val="05DE428D"/>
    <w:rsid w:val="05ED25F6"/>
    <w:rsid w:val="079242AE"/>
    <w:rsid w:val="085D0C84"/>
    <w:rsid w:val="0992531D"/>
    <w:rsid w:val="09F312DF"/>
    <w:rsid w:val="0A0D382D"/>
    <w:rsid w:val="0B0E3992"/>
    <w:rsid w:val="0D2835D5"/>
    <w:rsid w:val="0ED939EE"/>
    <w:rsid w:val="0EDD3A99"/>
    <w:rsid w:val="0F973587"/>
    <w:rsid w:val="1133501E"/>
    <w:rsid w:val="13385187"/>
    <w:rsid w:val="144178C3"/>
    <w:rsid w:val="167C1082"/>
    <w:rsid w:val="168E55F8"/>
    <w:rsid w:val="16B94831"/>
    <w:rsid w:val="18844C6D"/>
    <w:rsid w:val="1C591153"/>
    <w:rsid w:val="1C744CBF"/>
    <w:rsid w:val="1CD25B13"/>
    <w:rsid w:val="1D6E31FC"/>
    <w:rsid w:val="1D85581C"/>
    <w:rsid w:val="1FD800E8"/>
    <w:rsid w:val="200307FA"/>
    <w:rsid w:val="20A420AE"/>
    <w:rsid w:val="22DF4F83"/>
    <w:rsid w:val="230C7214"/>
    <w:rsid w:val="24302B07"/>
    <w:rsid w:val="243D1BD3"/>
    <w:rsid w:val="256B3D61"/>
    <w:rsid w:val="264178B0"/>
    <w:rsid w:val="26962633"/>
    <w:rsid w:val="26E130FE"/>
    <w:rsid w:val="29C372D4"/>
    <w:rsid w:val="29EC6874"/>
    <w:rsid w:val="2A351017"/>
    <w:rsid w:val="2BE30FD2"/>
    <w:rsid w:val="2D6329A9"/>
    <w:rsid w:val="2DA53533"/>
    <w:rsid w:val="305B1762"/>
    <w:rsid w:val="305C2E10"/>
    <w:rsid w:val="3085088F"/>
    <w:rsid w:val="31A800DF"/>
    <w:rsid w:val="324A2389"/>
    <w:rsid w:val="32865768"/>
    <w:rsid w:val="328F1D91"/>
    <w:rsid w:val="32C66482"/>
    <w:rsid w:val="34521626"/>
    <w:rsid w:val="35683252"/>
    <w:rsid w:val="36BE748E"/>
    <w:rsid w:val="36CB7059"/>
    <w:rsid w:val="38E3475C"/>
    <w:rsid w:val="3951638D"/>
    <w:rsid w:val="3A242018"/>
    <w:rsid w:val="4193673A"/>
    <w:rsid w:val="43666CD0"/>
    <w:rsid w:val="44E16B7D"/>
    <w:rsid w:val="472973EE"/>
    <w:rsid w:val="477C3FDA"/>
    <w:rsid w:val="47E411CF"/>
    <w:rsid w:val="47F15FD3"/>
    <w:rsid w:val="490966A2"/>
    <w:rsid w:val="496F41C2"/>
    <w:rsid w:val="4AD36F68"/>
    <w:rsid w:val="4B5D43D7"/>
    <w:rsid w:val="4BC03402"/>
    <w:rsid w:val="4BD91590"/>
    <w:rsid w:val="4DBF1A26"/>
    <w:rsid w:val="4EC2028E"/>
    <w:rsid w:val="4EE728E7"/>
    <w:rsid w:val="50447689"/>
    <w:rsid w:val="51B004D2"/>
    <w:rsid w:val="52A91D7A"/>
    <w:rsid w:val="54A70CC5"/>
    <w:rsid w:val="56301712"/>
    <w:rsid w:val="5681523A"/>
    <w:rsid w:val="576A0C54"/>
    <w:rsid w:val="5A1535D7"/>
    <w:rsid w:val="5A380B96"/>
    <w:rsid w:val="5D7F32CE"/>
    <w:rsid w:val="5F3F29C6"/>
    <w:rsid w:val="60884CBD"/>
    <w:rsid w:val="60B230E1"/>
    <w:rsid w:val="636D1293"/>
    <w:rsid w:val="637274E6"/>
    <w:rsid w:val="63894210"/>
    <w:rsid w:val="662F72F1"/>
    <w:rsid w:val="66B263EF"/>
    <w:rsid w:val="69175946"/>
    <w:rsid w:val="69F35F40"/>
    <w:rsid w:val="6B49147A"/>
    <w:rsid w:val="6C0749A4"/>
    <w:rsid w:val="6C1B6290"/>
    <w:rsid w:val="6C5E2742"/>
    <w:rsid w:val="6CB542C8"/>
    <w:rsid w:val="6CC62031"/>
    <w:rsid w:val="7076663E"/>
    <w:rsid w:val="70AE175A"/>
    <w:rsid w:val="70F92319"/>
    <w:rsid w:val="728C4B01"/>
    <w:rsid w:val="729A1F96"/>
    <w:rsid w:val="739C7F8F"/>
    <w:rsid w:val="73BE1EBD"/>
    <w:rsid w:val="74232EF6"/>
    <w:rsid w:val="748B04A5"/>
    <w:rsid w:val="74D47E83"/>
    <w:rsid w:val="753F0C2D"/>
    <w:rsid w:val="77DE623F"/>
    <w:rsid w:val="78CC0C1A"/>
    <w:rsid w:val="791A5BDE"/>
    <w:rsid w:val="7C9338B5"/>
    <w:rsid w:val="7E727695"/>
    <w:rsid w:val="7EBE525E"/>
    <w:rsid w:val="7F6D60FB"/>
    <w:rsid w:val="7F78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[收入预算图.xlsx]Sheet1!$B$31:$B$32</c15:sqref>
                  </c15:fullRef>
                </c:ext>
              </c:extLst>
              <c:f>[收入预算图.xlsx]Sheet1!$B$31</c:f>
              <c:strCache>
                <c:ptCount val="1"/>
                <c:pt idx="0">
                  <c:v>一般公共预算拨款收入</c:v>
                </c:pt>
              </c:strCache>
            </c:strRef>
          </c:cat>
          <c:val>
            <c:numRef>
              <c:extLst>
                <c:ext xmlns:c15="http://schemas.microsoft.com/office/drawing/2012/chart" uri="{02D57815-91ED-43cb-92C2-25804820EDAC}">
                  <c15:fullRef>
                    <c15:sqref>Sheet1!$C$31:$C$32</c15:sqref>
                  </c15:fullRef>
                </c:ext>
              </c:extLst>
              <c:f>[收入预算图.xlsx]Sheet1!$C$31</c:f>
              <c:numCache>
                <c:formatCode>0%</c:formatCode>
                <c:ptCount val="1"/>
                <c:pt idx="0">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67440254178754"/>
          <c:y val="0.302044011849344"/>
          <c:w val="0.826511949164249"/>
          <c:h val="0.612797291578502"/>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Lbls>
            <c:dLbl>
              <c:idx val="0"/>
              <c:layout>
                <c:manualLayout>
                  <c:x val="-0.04247704510012"/>
                  <c:y val="-0.026084375466378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21836119124768"/>
                  <c:y val="0.035600867132381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0597809552784"/>
                  <c:y val="-0.0692934782608696"/>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0660118818549"/>
                  <c:y val="0.010838939222046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[收入预算图.xlsx]Sheet1!$B$2:$B$5</c:f>
              <c:strCache>
                <c:ptCount val="4"/>
                <c:pt idx="0">
                  <c:v>社会保障和就业支出</c:v>
                </c:pt>
                <c:pt idx="1">
                  <c:v>卫生健康支出</c:v>
                </c:pt>
                <c:pt idx="2">
                  <c:v>交通运输支出</c:v>
                </c:pt>
                <c:pt idx="3">
                  <c:v>住房保障支出</c:v>
                </c:pt>
              </c:strCache>
            </c:strRef>
          </c:cat>
          <c:val>
            <c:numRef>
              <c:f>[收入预算图.xlsx]Sheet1!$C$2:$C$5</c:f>
              <c:numCache>
                <c:formatCode>0.00%</c:formatCode>
                <c:ptCount val="4"/>
                <c:pt idx="0">
                  <c:v>0.1205</c:v>
                </c:pt>
                <c:pt idx="1">
                  <c:v>0.0392</c:v>
                </c:pt>
                <c:pt idx="2">
                  <c:v>0.7758</c:v>
                </c:pt>
                <c:pt idx="3">
                  <c:v>0.0645</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12</Pages>
  <Words>3516</Words>
  <Characters>3832</Characters>
  <Lines>0</Lines>
  <Paragraphs>0</Paragraphs>
  <TotalTime>10</TotalTime>
  <ScaleCrop>false</ScaleCrop>
  <LinksUpToDate>false</LinksUpToDate>
  <CharactersWithSpaces>3845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Mr.1.689小姐</cp:lastModifiedBy>
  <dcterms:modified xsi:type="dcterms:W3CDTF">2024-06-11T03:30:25Z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AA6161384DF4417F82CE6AEF8ABCBB2E_11</vt:lpwstr>
  </property>
</Properties>
</file>