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olors1.xml" ContentType="application/vnd.ms-office.chartcolorstyle+xml"/>
  <Override PartName="/word/charts/style1.xml" ContentType="application/vnd.ms-office.chartstyle+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theme/themeOverride1.xml" ContentType="application/vnd.openxmlformats-officedocument.themeOverrid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lang w:val="en-US" w:eastAsia="zh-CN"/>
        </w:rPr>
      </w:pPr>
    </w:p>
    <w:p>
      <w:pPr>
        <w:spacing w:line="570" w:lineRule="atLeast"/>
        <w:jc w:val="center"/>
        <w:rPr>
          <w:rFonts w:hint="eastAsia" w:ascii="方正小标宋简体" w:hAnsi="方正小标宋简体" w:eastAsia="方正小标宋简体" w:cs="方正小标宋简体"/>
          <w:b/>
          <w:bCs/>
          <w:sz w:val="44"/>
          <w:szCs w:val="44"/>
        </w:rPr>
      </w:pPr>
      <w:r>
        <w:rPr>
          <w:rFonts w:hint="eastAsia" w:ascii="方正小标宋简体" w:hAnsi="方正小标宋简体" w:eastAsia="方正小标宋简体" w:cs="方正小标宋简体"/>
          <w:b/>
          <w:bCs/>
          <w:sz w:val="44"/>
          <w:szCs w:val="44"/>
        </w:rPr>
        <w:t>岳阳市君山区妇女联合会</w:t>
      </w:r>
    </w:p>
    <w:p>
      <w:pPr>
        <w:spacing w:line="570" w:lineRule="atLeast"/>
        <w:jc w:val="center"/>
        <w:rPr>
          <w:rFonts w:hint="eastAsia" w:ascii="黑体" w:hAnsi="黑体" w:eastAsia="黑体" w:cs="黑体"/>
          <w:b/>
          <w:bCs/>
          <w:sz w:val="48"/>
          <w:szCs w:val="48"/>
        </w:rPr>
      </w:pPr>
      <w:r>
        <w:rPr>
          <w:rFonts w:hint="eastAsia" w:ascii="方正小标宋简体" w:hAnsi="方正小标宋简体" w:eastAsia="方正小标宋简体" w:cs="方正小标宋简体"/>
          <w:b/>
          <w:bCs/>
          <w:sz w:val="44"/>
          <w:szCs w:val="44"/>
        </w:rPr>
        <w:t>2024年部门预算公开</w:t>
      </w:r>
    </w:p>
    <w:p>
      <w:pPr>
        <w:jc w:val="center"/>
        <w:rPr>
          <w:rFonts w:hint="eastAsia"/>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p>
    <w:p>
      <w:pPr>
        <w:widowControl/>
        <w:spacing w:line="570" w:lineRule="atLeast"/>
        <w:jc w:val="both"/>
        <w:rPr>
          <w:rFonts w:hint="eastAsia" w:ascii="Times New Roman" w:hAnsi="Times New Roman" w:eastAsia="黑体" w:cs="Times New Roman"/>
          <w:b/>
          <w:kern w:val="0"/>
          <w:sz w:val="36"/>
          <w:szCs w:val="36"/>
        </w:rPr>
      </w:pPr>
    </w:p>
    <w:p>
      <w:pPr>
        <w:widowControl/>
        <w:spacing w:line="570" w:lineRule="atLeast"/>
        <w:jc w:val="center"/>
        <w:rPr>
          <w:rFonts w:hint="eastAsia" w:ascii="Times New Roman" w:hAnsi="Times New Roman" w:eastAsia="黑体" w:cs="Times New Roman"/>
          <w:b/>
          <w:kern w:val="0"/>
          <w:sz w:val="36"/>
          <w:szCs w:val="36"/>
        </w:rPr>
      </w:pPr>
      <w:r>
        <w:rPr>
          <w:rFonts w:hint="eastAsia" w:ascii="Times New Roman" w:hAnsi="Times New Roman" w:eastAsia="黑体" w:cs="Times New Roman"/>
          <w:b/>
          <w:kern w:val="0"/>
          <w:sz w:val="36"/>
          <w:szCs w:val="36"/>
        </w:rPr>
        <w:t>目 录</w:t>
      </w:r>
    </w:p>
    <w:p>
      <w:pPr>
        <w:widowControl/>
        <w:spacing w:line="570" w:lineRule="atLeast"/>
        <w:ind w:firstLine="630" w:firstLineChars="196"/>
        <w:rPr>
          <w:rFonts w:hint="eastAsia" w:ascii="黑体" w:hAnsi="黑体" w:eastAsia="黑体" w:cs="黑体"/>
          <w:b/>
          <w:bCs/>
          <w:kern w:val="0"/>
          <w:sz w:val="32"/>
          <w:szCs w:val="32"/>
        </w:rPr>
      </w:pPr>
      <w:r>
        <w:rPr>
          <w:rFonts w:hint="eastAsia" w:ascii="黑体" w:hAnsi="黑体" w:eastAsia="黑体" w:cs="黑体"/>
          <w:b/>
          <w:bCs/>
          <w:kern w:val="0"/>
          <w:sz w:val="32"/>
          <w:szCs w:val="32"/>
        </w:rPr>
        <w:t>第一部分 2024年部门预算说明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一、部门基本概况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二、部门预算单位构成</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三、部门收支总体情况</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四、一般公共预算拨款支出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五、政府性基金预算支出</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六、其他重要事项的情况说明</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七、名词解释</w:t>
      </w:r>
    </w:p>
    <w:p>
      <w:pPr>
        <w:ind w:firstLine="643" w:firstLineChars="200"/>
        <w:rPr>
          <w:rFonts w:hint="eastAsia" w:eastAsia="黑体" w:asciiTheme="minorEastAsia" w:hAnsiTheme="minorEastAsia" w:cstheme="minorEastAsia"/>
          <w:sz w:val="28"/>
          <w:szCs w:val="28"/>
          <w:lang w:eastAsia="zh-CN"/>
        </w:rPr>
      </w:pPr>
      <w:r>
        <w:rPr>
          <w:rFonts w:hint="eastAsia" w:ascii="黑体" w:hAnsi="黑体" w:eastAsia="黑体" w:cs="黑体"/>
          <w:b/>
          <w:bCs/>
          <w:kern w:val="0"/>
          <w:sz w:val="32"/>
          <w:szCs w:val="32"/>
        </w:rPr>
        <w:t>第二部分 2024年部门预算表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jc w:val="center"/>
        <w:rPr>
          <w:rFonts w:hint="eastAsia" w:asciiTheme="minorEastAsia" w:hAnsiTheme="minorEastAsia" w:eastAsiaTheme="minorEastAsia" w:cstheme="minorEastAsia"/>
          <w:b/>
          <w:bCs/>
          <w:sz w:val="28"/>
          <w:szCs w:val="28"/>
        </w:rPr>
      </w:pPr>
    </w:p>
    <w:p>
      <w:pPr>
        <w:jc w:val="center"/>
        <w:rPr>
          <w:rFonts w:hint="eastAsia" w:ascii="Times New Roman" w:hAnsi="Times New Roman" w:eastAsia="方正小标宋_GBK" w:cs="Times New Roman"/>
          <w:b/>
          <w:bCs/>
          <w:kern w:val="0"/>
          <w:sz w:val="36"/>
          <w:szCs w:val="36"/>
        </w:rPr>
      </w:pPr>
      <w:r>
        <w:rPr>
          <w:rFonts w:hint="eastAsia" w:ascii="Times New Roman" w:hAnsi="Times New Roman" w:eastAsia="方正小标宋_GBK" w:cs="Times New Roman"/>
          <w:b/>
          <w:bCs/>
          <w:kern w:val="0"/>
          <w:sz w:val="36"/>
          <w:szCs w:val="36"/>
        </w:rPr>
        <w:t>第一部分 部门预算公开说明</w:t>
      </w:r>
    </w:p>
    <w:p>
      <w:pPr>
        <w:widowControl/>
        <w:spacing w:line="570" w:lineRule="atLeast"/>
        <w:ind w:firstLine="643" w:firstLineChars="200"/>
        <w:rPr>
          <w:rFonts w:hint="eastAsia" w:ascii="Times New Roman" w:hAnsi="Times New Roman" w:eastAsia="黑体" w:cs="Times New Roman"/>
          <w:b/>
          <w:bCs/>
          <w:kern w:val="0"/>
          <w:sz w:val="32"/>
          <w:szCs w:val="32"/>
        </w:rPr>
      </w:pP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一、部门基本概况</w:t>
      </w:r>
    </w:p>
    <w:p>
      <w:pPr>
        <w:spacing w:line="570" w:lineRule="atLeast"/>
        <w:ind w:firstLine="643" w:firstLineChars="200"/>
        <w:rPr>
          <w:rFonts w:hint="eastAsia" w:ascii="仿宋_GB2312" w:hAnsi="仿宋_GB2312" w:eastAsia="仿宋_GB2312" w:cs="仿宋_GB2312"/>
          <w:b/>
          <w:bCs/>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（一）职能职责</w:t>
      </w:r>
    </w:p>
    <w:p>
      <w:pPr>
        <w:spacing w:line="57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岳阳市君山区妇女联合会是在区委和市妇联领导下的各界妇女的群众组织，基本职能是：代表和维护全区妇女权益，促进男女平等。</w:t>
      </w:r>
    </w:p>
    <w:p>
      <w:pPr>
        <w:spacing w:line="570" w:lineRule="atLeast"/>
        <w:ind w:firstLine="643"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b/>
          <w:bCs/>
          <w:color w:val="000000"/>
          <w:sz w:val="32"/>
          <w:szCs w:val="32"/>
          <w:shd w:val="clear" w:color="auto" w:fill="FFFFFF"/>
        </w:rPr>
        <w:t>（二）机构设置</w:t>
      </w:r>
    </w:p>
    <w:p>
      <w:pPr>
        <w:spacing w:line="570" w:lineRule="atLeast"/>
        <w:ind w:firstLine="640" w:firstLineChars="200"/>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岳阳市君山区妇女联合会内设2个职能股室：办公室、权益和少儿部；核定区妇联全额拨款事业编制3名，在编在岗3人。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二、部门预算单位构成</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Theme="minorEastAsia" w:hAnsiTheme="minorEastAsia" w:eastAsiaTheme="minorEastAsia" w:cstheme="minorEastAsia"/>
          <w:i w:val="0"/>
          <w:iCs w:val="0"/>
          <w:caps w:val="0"/>
          <w:color w:val="333333"/>
          <w:spacing w:val="0"/>
          <w:sz w:val="28"/>
          <w:szCs w:val="28"/>
          <w:shd w:val="clear" w:fill="FFFFFF"/>
        </w:rPr>
      </w:pPr>
      <w:bookmarkStart w:id="0" w:name="DEPT_COMPOSE"/>
      <w:r>
        <w:rPr>
          <w:rFonts w:hint="eastAsia" w:ascii="仿宋_GB2312" w:hAnsi="仿宋_GB2312" w:eastAsia="仿宋_GB2312" w:cs="仿宋_GB2312"/>
          <w:color w:val="000000"/>
          <w:kern w:val="2"/>
          <w:sz w:val="32"/>
          <w:szCs w:val="32"/>
          <w:shd w:val="clear" w:color="auto" w:fill="FFFFFF"/>
          <w:lang w:val="en-US" w:eastAsia="zh-CN" w:bidi="ar-SA"/>
        </w:rPr>
        <w:t>岳阳市君山区妇女联合会部门只有本级，没有其他二级预算单位，因此，纳入2024年部门预算编制范围的只有岳阳市君山区妇女联合会本级。</w:t>
      </w:r>
      <w:bookmarkEnd w:id="0"/>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lang w:val="en-US" w:eastAsia="zh-CN"/>
        </w:rPr>
        <w:t>三、</w:t>
      </w:r>
      <w:r>
        <w:rPr>
          <w:rFonts w:hint="eastAsia" w:ascii="Times New Roman" w:hAnsi="Times New Roman" w:eastAsia="黑体" w:cs="Times New Roman"/>
          <w:b/>
          <w:bCs/>
          <w:kern w:val="0"/>
          <w:sz w:val="32"/>
          <w:szCs w:val="32"/>
        </w:rPr>
        <w:t>部门收支总体情况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本部门2024年没有政府性基金预算拨款、国有资本经营预算收入和纳入专户管理的非税收入拨款收入，也没有使用政府性基金预算拨款、国有资本经营预算收入和纳入专户管理的非税收入拨款安排的支出，所以公开的附件15、16、17、18、19表均为空。</w:t>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收入预算：</w:t>
      </w:r>
      <w:r>
        <w:rPr>
          <w:rFonts w:hint="eastAsia" w:ascii="仿宋_GB2312" w:hAnsi="仿宋_GB2312" w:eastAsia="仿宋_GB2312" w:cs="仿宋_GB2312"/>
          <w:color w:val="000000"/>
          <w:kern w:val="2"/>
          <w:sz w:val="32"/>
          <w:szCs w:val="32"/>
          <w:shd w:val="clear" w:color="auto" w:fill="FFFFFF"/>
          <w:lang w:val="en-US" w:eastAsia="zh-CN" w:bidi="ar-SA"/>
        </w:rPr>
        <w:t>包括一般公共预算、政府性基金、国有资本经营预算等财政拨款收入，以及经营收入、事业收入等单位资金。2024年本部门收入预算73.95万元，其中，一般公共预算拨款73.95万元，政府性基金预算资金0.00万元(所以公开的附件15-17表为空)，国有资本经营预算资金0.00万元(所以公开的附件18表为空)，财政专户管理资金0.00万元(所以公开的附件19表为空)，上级补助收入资金0.00万元，事业单位经营收入资金0.00万元，上年结转结余0.00万元。收入较上年增加1.74万元，上升2.41%。主要原因是2023年进行了工资调整，从而导致工资福利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Chars="200"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drawing>
          <wp:inline distT="0" distB="0" distL="114300" distR="114300">
            <wp:extent cx="4826000" cy="2743200"/>
            <wp:effectExtent l="4445" t="4445" r="8255" b="52705"/>
            <wp:docPr id="8" name="图表 7" descr="7b0a202020202263686172745265734964223a20223230343736303933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4"/>
              </a:graphicData>
            </a:graphic>
          </wp:inline>
        </w:drawing>
      </w:r>
    </w:p>
    <w:p>
      <w:pPr>
        <w:pStyle w:val="5"/>
        <w:keepNext w:val="0"/>
        <w:keepLines w:val="0"/>
        <w:widowControl/>
        <w:numPr>
          <w:ilvl w:val="0"/>
          <w:numId w:val="1"/>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leftChars="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kern w:val="2"/>
          <w:sz w:val="32"/>
          <w:szCs w:val="32"/>
          <w:lang w:val="en-US" w:eastAsia="zh-CN" w:bidi="ar-SA"/>
        </w:rPr>
        <w:t>支出预算：</w:t>
      </w:r>
      <w:r>
        <w:rPr>
          <w:rFonts w:hint="eastAsia" w:ascii="仿宋_GB2312" w:hAnsi="仿宋_GB2312" w:eastAsia="仿宋_GB2312" w:cs="仿宋_GB2312"/>
          <w:color w:val="000000"/>
          <w:kern w:val="2"/>
          <w:sz w:val="32"/>
          <w:szCs w:val="32"/>
          <w:shd w:val="clear" w:color="auto" w:fill="FFFFFF"/>
          <w:lang w:val="en-US" w:eastAsia="zh-CN" w:bidi="ar-SA"/>
        </w:rPr>
        <w:t>2024年本部门支出预算73.95万元，其中：社会保障和就业支出6.3万元，卫生健康支出2.08万元，一般公共服务支出62.15万元，住房保障支出3.42万元。支出较上年增加1.74万元，上升2.41%。主要原因是2023进行工资调整，从而导致工资福利支出增加。</w:t>
      </w:r>
    </w:p>
    <w:p>
      <w:pPr>
        <w:pStyle w:val="5"/>
        <w:keepNext w:val="0"/>
        <w:keepLines w:val="0"/>
        <w:widowControl/>
        <w:numPr>
          <w:ilvl w:val="0"/>
          <w:numId w:val="0"/>
        </w:numPr>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rightChars="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lang w:val="en-US" w:eastAsia="zh-CN"/>
        </w:rPr>
        <w:t xml:space="preserve">      </w:t>
      </w:r>
      <w:r>
        <w:drawing>
          <wp:inline distT="0" distB="0" distL="114300" distR="114300">
            <wp:extent cx="4596765" cy="3001010"/>
            <wp:effectExtent l="4445" t="4445" r="8890" b="23495"/>
            <wp:docPr id="1" name="图表 1" descr="7b0a202020202263686172745265734964223a20223230343735353931220a7d0a"/>
            <wp:cNvGraphicFramePr/>
            <a:graphic xmlns:a="http://schemas.openxmlformats.org/drawingml/2006/main">
              <a:graphicData uri="http://schemas.openxmlformats.org/drawingml/2006/chart">
                <c:chart xmlns:c="http://schemas.openxmlformats.org/drawingml/2006/chart" xmlns:r="http://schemas.openxmlformats.org/officeDocument/2006/relationships" r:id="rId5"/>
              </a:graphicData>
            </a:graphic>
          </wp:inline>
        </w:drawing>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四、一般公共预算拨款支出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2024年本部门一般公共预算拨款支出73.95万元，其中：社会保障和就业支出6.3万元，占8.53%；卫生健康支出2.08万元，占2.81%；一般公共服务支出62.15万元，占84.04%</w:t>
      </w:r>
      <w:r>
        <w:rPr>
          <w:rFonts w:hint="eastAsia" w:ascii="仿宋_GB2312" w:hAnsi="仿宋_GB2312" w:eastAsia="仿宋_GB2312" w:cs="仿宋_GB2312"/>
          <w:color w:val="000000"/>
          <w:kern w:val="2"/>
          <w:sz w:val="36"/>
          <w:szCs w:val="36"/>
          <w:shd w:val="clear" w:color="auto" w:fill="FFFFFF"/>
          <w:lang w:val="en-US" w:eastAsia="zh-CN" w:bidi="ar-SA"/>
        </w:rPr>
        <w:t>；</w:t>
      </w:r>
      <w:r>
        <w:rPr>
          <w:rFonts w:hint="eastAsia" w:ascii="仿宋_GB2312" w:hAnsi="仿宋_GB2312" w:eastAsia="仿宋_GB2312" w:cs="仿宋_GB2312"/>
          <w:color w:val="000000"/>
          <w:kern w:val="2"/>
          <w:sz w:val="32"/>
          <w:szCs w:val="32"/>
          <w:shd w:val="clear" w:color="auto" w:fill="FFFFFF"/>
          <w:lang w:val="en-US" w:eastAsia="zh-CN" w:bidi="ar-SA"/>
        </w:rPr>
        <w:t>住房保障支出3.42万元，占4.62%。具体安排情况如下：</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Times New Roman" w:hAnsi="Times New Roman" w:eastAsia="仿宋_GB2312" w:cs="Times New Roman"/>
          <w:b/>
          <w:sz w:val="32"/>
          <w:szCs w:val="32"/>
        </w:rPr>
        <w:t>（一）基本支出：</w:t>
      </w:r>
      <w:r>
        <w:rPr>
          <w:rFonts w:hint="eastAsia" w:ascii="仿宋_GB2312" w:hAnsi="仿宋_GB2312" w:eastAsia="仿宋_GB2312" w:cs="仿宋_GB2312"/>
          <w:color w:val="000000"/>
          <w:kern w:val="2"/>
          <w:sz w:val="32"/>
          <w:szCs w:val="32"/>
          <w:shd w:val="clear" w:color="auto" w:fill="FFFFFF"/>
          <w:lang w:val="en-US" w:eastAsia="zh-CN" w:bidi="ar-SA"/>
        </w:rPr>
        <w:t>2024年本部门基本支出预算数45.95万元，主要是为保障部门正常运转、完成日常工作任务而发生的各项支出，包括用于基本工资、津贴补贴等人员经费以及办公费、印刷费、水电费、办公设备购置等公用经费。</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（二）项目支出：</w:t>
      </w:r>
      <w:r>
        <w:rPr>
          <w:rFonts w:hint="eastAsia" w:ascii="仿宋_GB2312" w:hAnsi="仿宋_GB2312" w:eastAsia="仿宋_GB2312" w:cs="仿宋_GB2312"/>
          <w:color w:val="000000"/>
          <w:kern w:val="2"/>
          <w:sz w:val="32"/>
          <w:szCs w:val="32"/>
          <w:shd w:val="clear" w:color="auto" w:fill="FFFFFF"/>
          <w:lang w:val="en-US" w:eastAsia="zh-CN" w:bidi="ar-SA"/>
        </w:rPr>
        <w:t>2024年本部门项目支出预算28万元，主要是本部门为完成特定工作任务或事业发展目标而发生的支出，包括业务工作经费等，其中：一般公共服务支出28万元，主要用于完成本部门2024年度</w:t>
      </w:r>
      <w:r>
        <w:rPr>
          <w:rFonts w:hint="eastAsia" w:ascii="Times New Roman" w:hAnsi="Times New Roman" w:eastAsia="仿宋_GB2312" w:cs="Times New Roman"/>
          <w:sz w:val="32"/>
          <w:szCs w:val="32"/>
          <w:lang w:eastAsia="zh-CN"/>
        </w:rPr>
        <w:t>家风家教项目、</w:t>
      </w:r>
      <w:r>
        <w:rPr>
          <w:rFonts w:hint="eastAsia" w:ascii="Times New Roman" w:hAnsi="Times New Roman" w:eastAsia="仿宋_GB2312" w:cs="Times New Roman"/>
          <w:sz w:val="32"/>
          <w:szCs w:val="32"/>
          <w:lang w:val="en-US" w:eastAsia="zh-CN"/>
        </w:rPr>
        <w:t>婚调委、和解工作室服务等工作</w:t>
      </w:r>
      <w:r>
        <w:rPr>
          <w:rFonts w:hint="eastAsia" w:ascii="仿宋_GB2312" w:hAnsi="仿宋_GB2312" w:eastAsia="仿宋_GB2312" w:cs="仿宋_GB2312"/>
          <w:color w:val="000000"/>
          <w:kern w:val="2"/>
          <w:sz w:val="32"/>
          <w:szCs w:val="32"/>
          <w:shd w:val="clear" w:color="auto" w:fill="FFFFFF"/>
          <w:lang w:val="en-US" w:eastAsia="zh-CN" w:bidi="ar-SA"/>
        </w:rPr>
        <w:t>。</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五、政府性基金预算支出</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2024年度本部门无政府性基金安排的支出，所以公开的附件15-17表（政府性基金预算）为空。</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六、其他重要事项的情况说明</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（一）机关运行经费：</w:t>
      </w:r>
      <w:r>
        <w:rPr>
          <w:rFonts w:hint="eastAsia" w:ascii="仿宋_GB2312" w:hAnsi="仿宋_GB2312" w:eastAsia="仿宋_GB2312" w:cs="仿宋_GB2312"/>
          <w:color w:val="000000"/>
          <w:kern w:val="2"/>
          <w:sz w:val="32"/>
          <w:szCs w:val="32"/>
          <w:shd w:val="clear" w:color="auto" w:fill="FFFFFF"/>
          <w:lang w:val="en-US" w:eastAsia="zh-CN" w:bidi="ar-SA"/>
        </w:rPr>
        <w:t>2024年</w:t>
      </w:r>
      <w:r>
        <w:rPr>
          <w:rFonts w:hint="eastAsia" w:ascii="Times New Roman" w:hAnsi="Times New Roman" w:eastAsia="仿宋_GB2312" w:cs="Times New Roman"/>
          <w:sz w:val="32"/>
          <w:szCs w:val="32"/>
          <w:lang w:val="en-US" w:eastAsia="zh-CN"/>
        </w:rPr>
        <w:t>岳阳市君山区妇女联合会</w:t>
      </w:r>
      <w:r>
        <w:rPr>
          <w:rFonts w:hint="eastAsia" w:ascii="仿宋_GB2312" w:hAnsi="仿宋_GB2312" w:eastAsia="仿宋_GB2312" w:cs="仿宋_GB2312"/>
          <w:color w:val="000000"/>
          <w:kern w:val="2"/>
          <w:sz w:val="32"/>
          <w:szCs w:val="32"/>
          <w:shd w:val="clear" w:color="auto" w:fill="FFFFFF"/>
          <w:lang w:val="en-US" w:eastAsia="zh-CN" w:bidi="ar-SA"/>
        </w:rPr>
        <w:t>部门机关运行经费5.82万元，与上年相比基本持平，主要原因为2024年严格控制机关运行经费支出预算。</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（二）“三公”经费预算：</w:t>
      </w:r>
      <w:r>
        <w:rPr>
          <w:rFonts w:hint="eastAsia" w:ascii="仿宋_GB2312" w:hAnsi="仿宋_GB2312" w:eastAsia="仿宋_GB2312" w:cs="仿宋_GB2312"/>
          <w:color w:val="000000"/>
          <w:kern w:val="2"/>
          <w:sz w:val="32"/>
          <w:szCs w:val="32"/>
          <w:shd w:val="clear" w:color="auto" w:fill="FFFFFF"/>
          <w:lang w:val="en-US" w:eastAsia="zh-CN" w:bidi="ar-SA"/>
        </w:rPr>
        <w:t>2024年本部门“三公”经费预算数为0.25万元，其中，公务接待费0.25万元，公务用车购置及运行费0万元（其中，公务用车购置费0万元，公务用车运行费0万元），因公出国（境）费0万元。2024年“三公”经费预算较2023年减少0.05万元，主要原因是严格落实中央“八项规定”精神和“过紧日子”的要求，从严控制“三公”经费支出。</w:t>
      </w:r>
      <w:bookmarkStart w:id="1" w:name="DIS_MARK_IS_ZERO_06_2"/>
      <w:bookmarkEnd w:id="1"/>
      <w:bookmarkStart w:id="2" w:name="END_IS_ZERO_06_1"/>
      <w:bookmarkEnd w:id="2"/>
      <w:bookmarkStart w:id="3" w:name="END_IS_ZERO_06_2"/>
      <w:bookmarkEnd w:id="3"/>
      <w:bookmarkStart w:id="4" w:name="START_IS_ZERO_06_2"/>
      <w:bookmarkEnd w:id="4"/>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（三）一般性支出情况：</w:t>
      </w:r>
      <w:r>
        <w:rPr>
          <w:rFonts w:hint="eastAsia" w:ascii="仿宋_GB2312" w:hAnsi="仿宋_GB2312" w:eastAsia="仿宋_GB2312" w:cs="仿宋_GB2312"/>
          <w:color w:val="000000"/>
          <w:kern w:val="2"/>
          <w:sz w:val="32"/>
          <w:szCs w:val="32"/>
          <w:shd w:val="clear" w:color="auto" w:fill="FFFFFF"/>
          <w:lang w:val="en-US" w:eastAsia="zh-CN" w:bidi="ar-SA"/>
        </w:rPr>
        <w:t>2024年本部门会议费预算0万元，拟召开0次会议，人数0人；培训费预算0万元，拟开展0次培训，人数0人；2024年度本部门未计划举办节庆、晚会、论坛、赛事活动，经费预算0万元</w:t>
      </w:r>
      <w:bookmarkStart w:id="5" w:name="_GoBack"/>
      <w:bookmarkEnd w:id="5"/>
      <w:r>
        <w:rPr>
          <w:rFonts w:hint="eastAsia" w:ascii="仿宋_GB2312" w:hAnsi="仿宋_GB2312" w:eastAsia="仿宋_GB2312" w:cs="仿宋_GB2312"/>
          <w:color w:val="000000"/>
          <w:kern w:val="2"/>
          <w:sz w:val="32"/>
          <w:szCs w:val="32"/>
          <w:shd w:val="clear" w:color="auto" w:fill="FFFFFF"/>
          <w:lang w:val="en-US" w:eastAsia="zh-CN" w:bidi="ar-SA"/>
        </w:rPr>
        <w:t>。</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（四）政府采购情况：</w:t>
      </w:r>
      <w:r>
        <w:rPr>
          <w:rFonts w:hint="eastAsia" w:ascii="仿宋_GB2312" w:hAnsi="仿宋_GB2312" w:eastAsia="仿宋_GB2312" w:cs="仿宋_GB2312"/>
          <w:color w:val="000000"/>
          <w:kern w:val="2"/>
          <w:sz w:val="32"/>
          <w:szCs w:val="32"/>
          <w:shd w:val="clear" w:color="auto" w:fill="FFFFFF"/>
          <w:lang w:val="en-US" w:eastAsia="zh-CN" w:bidi="ar-SA"/>
        </w:rPr>
        <w:t>2024年本部门政府采购预算总额20.05万元，其中，货物类采购预算7.65万元；工程类采购预算0万元；服务类采购预算12.4万元。</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（五）国有资产占用使用及新增资产配置情况：</w:t>
      </w:r>
      <w:r>
        <w:rPr>
          <w:rFonts w:hint="eastAsia" w:ascii="仿宋_GB2312" w:hAnsi="仿宋_GB2312" w:eastAsia="仿宋_GB2312" w:cs="仿宋_GB2312"/>
          <w:color w:val="000000"/>
          <w:kern w:val="2"/>
          <w:sz w:val="32"/>
          <w:szCs w:val="32"/>
          <w:shd w:val="clear" w:color="auto" w:fill="FFFFFF"/>
          <w:lang w:val="en-US" w:eastAsia="zh-CN" w:bidi="ar-SA"/>
        </w:rPr>
        <w:t>截至2023年12月底，本部门共有公务用车0辆，其中，机要通信用车0辆，应急保障用车0辆，执法执勤用车0辆，特种专业技术用车0辆，其他按照规定配备的公务用车0辆；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color w:val="000000"/>
          <w:kern w:val="2"/>
          <w:sz w:val="32"/>
          <w:szCs w:val="32"/>
          <w:shd w:val="clear" w:color="auto" w:fill="FFFFFF"/>
          <w:lang w:val="en-US" w:eastAsia="zh-CN" w:bidi="ar-SA"/>
        </w:rPr>
        <w:t>2024年拟新增配置公务用车0辆，其中，机要通信用车0辆，应急保障用车0辆，执法执勤用车0辆，特种专业技术用车0辆，其他按照规定配备的公务用车0辆；新增配备单位价值50万元以上设备0台，其中，单位价值100万元以上设备0台。</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（六）预算绩效目标说明：</w:t>
      </w:r>
      <w:r>
        <w:rPr>
          <w:rFonts w:hint="eastAsia" w:ascii="仿宋_GB2312" w:hAnsi="仿宋_GB2312" w:eastAsia="仿宋_GB2312" w:cs="仿宋_GB2312"/>
          <w:color w:val="000000"/>
          <w:kern w:val="2"/>
          <w:sz w:val="32"/>
          <w:szCs w:val="32"/>
          <w:shd w:val="clear" w:color="auto" w:fill="FFFFFF"/>
          <w:lang w:val="en-US" w:eastAsia="zh-CN" w:bidi="ar-SA"/>
        </w:rPr>
        <w:t>本部门所有支出实行绩效目标管理。纳入2024年部门整体支出绩效目标的金额为73.95万元，其中，基本支出45.95万元，项目支出28万元，具体绩效目标详见文尾附表中部门预算公开表格的表21-22。</w:t>
      </w:r>
    </w:p>
    <w:p>
      <w:pPr>
        <w:widowControl/>
        <w:spacing w:line="570" w:lineRule="atLeast"/>
        <w:ind w:firstLine="643" w:firstLineChars="200"/>
        <w:rPr>
          <w:rFonts w:hint="eastAsia" w:ascii="Times New Roman" w:hAnsi="Times New Roman" w:eastAsia="黑体" w:cs="Times New Roman"/>
          <w:b/>
          <w:bCs/>
          <w:kern w:val="0"/>
          <w:sz w:val="32"/>
          <w:szCs w:val="32"/>
        </w:rPr>
      </w:pPr>
      <w:r>
        <w:rPr>
          <w:rFonts w:hint="eastAsia" w:ascii="Times New Roman" w:hAnsi="Times New Roman" w:eastAsia="黑体" w:cs="Times New Roman"/>
          <w:b/>
          <w:bCs/>
          <w:kern w:val="0"/>
          <w:sz w:val="32"/>
          <w:szCs w:val="32"/>
        </w:rPr>
        <w:t>七、名词解释</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1．机关运行经费：</w:t>
      </w:r>
      <w:r>
        <w:rPr>
          <w:rFonts w:hint="eastAsia" w:ascii="仿宋_GB2312" w:hAnsi="仿宋_GB2312" w:eastAsia="仿宋_GB2312" w:cs="仿宋_GB2312"/>
          <w:color w:val="000000"/>
          <w:kern w:val="2"/>
          <w:sz w:val="32"/>
          <w:szCs w:val="32"/>
          <w:shd w:val="clear" w:color="auto" w:fill="FFFFFF"/>
          <w:lang w:val="en-US" w:eastAsia="zh-CN" w:bidi="ar-SA"/>
        </w:rPr>
        <w:t>是指各部门的公用经费，包括办公及印刷费、邮电费、差旅费、会议费、福利费、日常维修费、专用资料及一般设备购置费、办公用房水电费、办公用房取暖费、办公用房物业管理费、公务用车运行维护费以及其他费用。</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3"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2．“三公”经费：</w:t>
      </w:r>
      <w:r>
        <w:rPr>
          <w:rFonts w:hint="eastAsia" w:ascii="仿宋_GB2312" w:hAnsi="仿宋_GB2312" w:eastAsia="仿宋_GB2312" w:cs="仿宋_GB2312"/>
          <w:color w:val="000000"/>
          <w:kern w:val="2"/>
          <w:sz w:val="32"/>
          <w:szCs w:val="32"/>
          <w:shd w:val="clear" w:color="auto" w:fill="FFFFFF"/>
          <w:lang w:val="en-US" w:eastAsia="zh-CN" w:bidi="ar-SA"/>
        </w:rPr>
        <w:t>纳入省（市/县）财政预算管理的“三公“经费，是指用一般公共预算拨款安排的公务接待费、公务用车购置及运行维护费和因公出国（境）费。其中，公务接待费反映单位按规定开支的各类公务接待支出；公务用车购置及运行费反映单位公务用车车辆购置支出（含车辆购置税），以及燃料费、维修费、保险费等支出；因公出国（境）费反映单位公务出国（境）的国际旅费、国外城市间交通费、住宿费、伙食费、培训费、公杂费等支出。</w:t>
      </w: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p>
    <w:p>
      <w:pPr>
        <w:widowControl/>
        <w:jc w:val="center"/>
        <w:rPr>
          <w:rFonts w:hint="eastAsia" w:ascii="方正小标宋简体" w:hAnsi="Times New Roman" w:eastAsia="方正小标宋简体" w:cs="Times New Roman"/>
          <w:b/>
          <w:bCs/>
          <w:kern w:val="0"/>
          <w:sz w:val="36"/>
          <w:szCs w:val="36"/>
        </w:rPr>
      </w:pPr>
      <w:r>
        <w:rPr>
          <w:rFonts w:hint="eastAsia" w:ascii="方正小标宋简体" w:hAnsi="Times New Roman" w:eastAsia="方正小标宋简体" w:cs="Times New Roman"/>
          <w:b/>
          <w:bCs/>
          <w:kern w:val="0"/>
          <w:sz w:val="36"/>
          <w:szCs w:val="36"/>
        </w:rPr>
        <w:t>第二部分  2024年部门预算公开表格</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2、收入总表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3、支出总表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4、支出预算分类汇总表（按政府预算经济分类）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5、支出预算分类汇总表（按部门预算经济分类）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6、财政拨款收支总表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7、一般公共预算支出表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8、一般公共预算基本支出表-人员经费（工资福利支出）（按政府预算经济分类）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9、一般公共预算基本支出表-人员经费（工资福利支出）（按部门预算经济分类）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10、一般公共预算基本支出表-人员经费（对个人和家庭的补助）（按政府预算经济分类）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11、一般公共预算基本支出表-人员经费（对个人和家庭的补助）（按部门预算经济分类）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12、一般公共预算基本支出表-公用经费（商品和服务支出）（按政府预算经济分类）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13、一般公共预算基本支出表-公用经费（商品和服务支出）（按部门预算经济分类）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14、一般公共预算“三公”经费支出表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15、政府性基金预算支出表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16、政府性基金预算支出分类汇总表（按政府预算经济分类）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17、政府性基金预算支出分类汇总表（按部门预算经济分类）</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18、国有资本经营预算支出表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19、财政专户管理资金预算支出表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20、专项资金预算汇总表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21、项目支出绩效目标表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22、部门整体支出绩效目标表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23、一般公共预算基本支出表</w:t>
      </w:r>
    </w:p>
    <w:p>
      <w:pPr>
        <w:spacing w:line="570" w:lineRule="atLeast"/>
        <w:ind w:firstLine="640" w:firstLineChars="200"/>
        <w:rPr>
          <w:rFonts w:hint="eastAsia" w:ascii="仿宋_GB2312" w:hAnsi="仿宋_GB2312" w:eastAsia="仿宋_GB2312" w:cs="仿宋_GB2312"/>
          <w:color w:val="000000"/>
          <w:sz w:val="32"/>
          <w:szCs w:val="32"/>
          <w:shd w:val="clear" w:color="auto" w:fill="FFFFFF"/>
        </w:rPr>
      </w:pPr>
      <w:r>
        <w:rPr>
          <w:rFonts w:hint="eastAsia" w:ascii="仿宋_GB2312" w:hAnsi="仿宋_GB2312" w:eastAsia="仿宋_GB2312" w:cs="仿宋_GB2312"/>
          <w:color w:val="000000"/>
          <w:sz w:val="32"/>
          <w:szCs w:val="32"/>
          <w:shd w:val="clear" w:color="auto" w:fill="FFFFFF"/>
        </w:rPr>
        <w:t>注：以上部门预算公开报表中，空表表示本部门无相关收支情况。</w:t>
      </w: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left="0" w:right="0" w:firstLine="640" w:firstLineChars="20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p>
    <w:p>
      <w:pPr>
        <w:pStyle w:val="5"/>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2" w:lineRule="atLeast"/>
        <w:ind w:right="0"/>
        <w:jc w:val="both"/>
        <w:textAlignment w:val="center"/>
        <w:rPr>
          <w:rFonts w:hint="eastAsia" w:ascii="仿宋_GB2312" w:hAnsi="仿宋_GB2312" w:eastAsia="仿宋_GB2312" w:cs="仿宋_GB2312"/>
          <w:color w:val="000000"/>
          <w:kern w:val="2"/>
          <w:sz w:val="32"/>
          <w:szCs w:val="32"/>
          <w:shd w:val="clear" w:color="auto" w:fill="FFFFFF"/>
          <w:lang w:val="en-US" w:eastAsia="zh-CN" w:bidi="ar-SA"/>
        </w:rPr>
      </w:pPr>
      <w:r>
        <w:rPr>
          <w:rFonts w:hint="eastAsia" w:ascii="仿宋_GB2312" w:hAnsi="仿宋_GB2312" w:eastAsia="仿宋_GB2312" w:cs="仿宋_GB2312"/>
          <w:b/>
          <w:bCs/>
          <w:color w:val="000000"/>
          <w:kern w:val="2"/>
          <w:sz w:val="32"/>
          <w:szCs w:val="32"/>
          <w:shd w:val="clear" w:color="auto" w:fill="FFFFFF"/>
          <w:lang w:val="en-US" w:eastAsia="zh-CN" w:bidi="ar-SA"/>
        </w:rPr>
        <w:t>附件：岳阳市君山区妇女联合会2024年部门预算公开表</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altName w:val="黑体"/>
    <w:panose1 w:val="02010601030101010101"/>
    <w:charset w:val="86"/>
    <w:family w:val="script"/>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方正小标宋_GBK">
    <w:altName w:val="微软雅黑"/>
    <w:panose1 w:val="03000509000000000000"/>
    <w:charset w:val="86"/>
    <w:family w:val="script"/>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11038EA"/>
    <w:multiLevelType w:val="singleLevel"/>
    <w:tmpl w:val="511038EA"/>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jRjYzRiMTYxZDMzMTQyMDNkMWFhNjUyY2VhYTE4YTUifQ=="/>
  </w:docVars>
  <w:rsids>
    <w:rsidRoot w:val="637274E6"/>
    <w:rsid w:val="00857C69"/>
    <w:rsid w:val="02412BCB"/>
    <w:rsid w:val="02FA7BB8"/>
    <w:rsid w:val="03631DE8"/>
    <w:rsid w:val="03C84489"/>
    <w:rsid w:val="05DE428D"/>
    <w:rsid w:val="05ED25F6"/>
    <w:rsid w:val="066E57BB"/>
    <w:rsid w:val="075902BA"/>
    <w:rsid w:val="079242AE"/>
    <w:rsid w:val="085D0C84"/>
    <w:rsid w:val="0992531D"/>
    <w:rsid w:val="0A0D382D"/>
    <w:rsid w:val="0D2835D5"/>
    <w:rsid w:val="0ED939EE"/>
    <w:rsid w:val="13385187"/>
    <w:rsid w:val="144178C3"/>
    <w:rsid w:val="15A3230E"/>
    <w:rsid w:val="167C1082"/>
    <w:rsid w:val="168E55F8"/>
    <w:rsid w:val="16B94831"/>
    <w:rsid w:val="18844C6D"/>
    <w:rsid w:val="1C744CBF"/>
    <w:rsid w:val="1CD25B13"/>
    <w:rsid w:val="1D6E31FC"/>
    <w:rsid w:val="1D85581C"/>
    <w:rsid w:val="1FD800E8"/>
    <w:rsid w:val="200307FA"/>
    <w:rsid w:val="20A420AE"/>
    <w:rsid w:val="22DF4F83"/>
    <w:rsid w:val="230C7214"/>
    <w:rsid w:val="24302B07"/>
    <w:rsid w:val="243D1BD3"/>
    <w:rsid w:val="256B3D61"/>
    <w:rsid w:val="264178B0"/>
    <w:rsid w:val="26962633"/>
    <w:rsid w:val="26E130FE"/>
    <w:rsid w:val="273E029C"/>
    <w:rsid w:val="29C372D4"/>
    <w:rsid w:val="29EC6874"/>
    <w:rsid w:val="2A351017"/>
    <w:rsid w:val="2D6329A9"/>
    <w:rsid w:val="2DA53533"/>
    <w:rsid w:val="305B1762"/>
    <w:rsid w:val="305C2E10"/>
    <w:rsid w:val="3085088F"/>
    <w:rsid w:val="31A800DF"/>
    <w:rsid w:val="324A2389"/>
    <w:rsid w:val="32865768"/>
    <w:rsid w:val="328F1D91"/>
    <w:rsid w:val="32C66482"/>
    <w:rsid w:val="34521626"/>
    <w:rsid w:val="35683252"/>
    <w:rsid w:val="36BE748E"/>
    <w:rsid w:val="36CB7059"/>
    <w:rsid w:val="38E3475C"/>
    <w:rsid w:val="3951638D"/>
    <w:rsid w:val="3A242018"/>
    <w:rsid w:val="43666CD0"/>
    <w:rsid w:val="45293C55"/>
    <w:rsid w:val="472973EE"/>
    <w:rsid w:val="477C3FDA"/>
    <w:rsid w:val="47E411CF"/>
    <w:rsid w:val="490966A2"/>
    <w:rsid w:val="496F41C2"/>
    <w:rsid w:val="4AD36F68"/>
    <w:rsid w:val="4B5D43D7"/>
    <w:rsid w:val="4BC03402"/>
    <w:rsid w:val="4DBF1A26"/>
    <w:rsid w:val="4EC2028E"/>
    <w:rsid w:val="4EE728E7"/>
    <w:rsid w:val="50447689"/>
    <w:rsid w:val="51B004D2"/>
    <w:rsid w:val="52A91D7A"/>
    <w:rsid w:val="54A70CC5"/>
    <w:rsid w:val="56301712"/>
    <w:rsid w:val="5681523A"/>
    <w:rsid w:val="576A0C54"/>
    <w:rsid w:val="5A1535D7"/>
    <w:rsid w:val="5A380B96"/>
    <w:rsid w:val="5D7F32CE"/>
    <w:rsid w:val="5F1D1882"/>
    <w:rsid w:val="5F3F29C6"/>
    <w:rsid w:val="60884CBD"/>
    <w:rsid w:val="60B230E1"/>
    <w:rsid w:val="636D1293"/>
    <w:rsid w:val="637274E6"/>
    <w:rsid w:val="63894210"/>
    <w:rsid w:val="662F72F1"/>
    <w:rsid w:val="66B263EF"/>
    <w:rsid w:val="69175946"/>
    <w:rsid w:val="6B49147A"/>
    <w:rsid w:val="6C0749A4"/>
    <w:rsid w:val="6C1B6290"/>
    <w:rsid w:val="6C5E2742"/>
    <w:rsid w:val="6CB542C8"/>
    <w:rsid w:val="6CC62031"/>
    <w:rsid w:val="706E1C24"/>
    <w:rsid w:val="7076663E"/>
    <w:rsid w:val="70AE175A"/>
    <w:rsid w:val="70F92319"/>
    <w:rsid w:val="728C4B01"/>
    <w:rsid w:val="729A1F96"/>
    <w:rsid w:val="739C7F8F"/>
    <w:rsid w:val="73BE1EBD"/>
    <w:rsid w:val="74232EF6"/>
    <w:rsid w:val="748B04A5"/>
    <w:rsid w:val="74D47E83"/>
    <w:rsid w:val="753F0C2D"/>
    <w:rsid w:val="77DE623F"/>
    <w:rsid w:val="78CC0C1A"/>
    <w:rsid w:val="791A5BDE"/>
    <w:rsid w:val="7AD03FF8"/>
    <w:rsid w:val="7C9338B5"/>
    <w:rsid w:val="7C9D7FEF"/>
    <w:rsid w:val="7EBE525E"/>
    <w:rsid w:val="7F6D60FB"/>
    <w:rsid w:val="7F781CD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ind w:firstLine="420"/>
    </w:pPr>
    <w:rPr>
      <w:szCs w:val="20"/>
    </w:rPr>
  </w:style>
  <w:style w:type="paragraph" w:styleId="3">
    <w:name w:val="footer"/>
    <w:basedOn w:val="1"/>
    <w:qFormat/>
    <w:uiPriority w:val="99"/>
    <w:pPr>
      <w:tabs>
        <w:tab w:val="center" w:pos="4153"/>
        <w:tab w:val="right" w:pos="8306"/>
      </w:tabs>
      <w:snapToGrid w:val="0"/>
      <w:jc w:val="left"/>
    </w:pPr>
    <w:rPr>
      <w:sz w:val="18"/>
      <w:szCs w:val="18"/>
    </w:rPr>
  </w:style>
  <w:style w:type="paragraph" w:styleId="4">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qFormat/>
    <w:uiPriority w:val="0"/>
    <w:pPr>
      <w:spacing w:before="0" w:beforeAutospacing="1" w:after="0" w:afterAutospacing="1"/>
      <w:ind w:left="0" w:right="0"/>
      <w:jc w:val="left"/>
    </w:pPr>
    <w:rPr>
      <w:kern w:val="0"/>
      <w:sz w:val="24"/>
      <w:lang w:val="en-US" w:eastAsia="zh-CN" w:bidi="ar"/>
    </w:rPr>
  </w:style>
  <w:style w:type="character" w:styleId="8">
    <w:name w:val="page number"/>
    <w:qFormat/>
    <w:uiPriority w:val="0"/>
  </w:style>
  <w:style w:type="character" w:styleId="9">
    <w:name w:val="Hyperlink"/>
    <w:basedOn w:val="7"/>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hart" Target="charts/chart2.xml"/><Relationship Id="rId4" Type="http://schemas.openxmlformats.org/officeDocument/2006/relationships/chart" Target="charts/chart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charts/_rels/chart1.xml.rels><?xml version="1.0" encoding="UTF-8" standalone="yes"?>
<Relationships xmlns="http://schemas.openxmlformats.org/package/2006/relationships"><Relationship Id="rId2" Type="http://schemas.openxmlformats.org/officeDocument/2006/relationships/themeOverride" Target="../theme/themeOverride1.xml"/><Relationship Id="rId1" Type="http://schemas.openxmlformats.org/officeDocument/2006/relationships/oleObject" Target="file:///d:\Documents\WeChat%20Files\wxid_8uktj8qci1hc22\FileStorage\File\2024-05\&#25910;&#20837;&#39044;&#31639;&#22270;.xlsx" TargetMode="External"/></Relationships>
</file>

<file path=word/charts/_rels/chart2.xml.rels><?xml version="1.0" encoding="UTF-8" standalone="yes"?>
<Relationships xmlns="http://schemas.openxmlformats.org/package/2006/relationships"><Relationship Id="rId3" Type="http://schemas.microsoft.com/office/2011/relationships/chartColorStyle" Target="colors1.xml"/><Relationship Id="rId2" Type="http://schemas.microsoft.com/office/2011/relationships/chartStyle" Target="style1.xml"/><Relationship Id="rId1" Type="http://schemas.openxmlformats.org/officeDocument/2006/relationships/oleObject" Target="file:///d:\Documents\WeChat%20Files\wxid_8uktj8qci1hc22\FileStorage\File\2024-05\&#25910;&#20837;&#39044;&#31639;&#22270;.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lrMapOvr bg1="lt1" tx1="dk1" bg2="lt2" tx2="dk2" accent1="accent1" accent2="accent2" accent3="accent3" accent4="accent4" accent5="accent5" accent6="accent6" hlink="hlink" folHlink="folHlink"/>
  <c:chart>
    <c:title>
      <c:tx>
        <c:rich>
          <a:bodyPr rot="0" spcFirstLastPara="0" vertOverflow="ellipsis" vert="horz" wrap="square" anchor="ctr" anchorCtr="1" forceAA="0"/>
          <a:lstStyle/>
          <a:p>
            <a:pPr>
              <a:defRPr lang="zh-CN" sz="1400" b="0" i="0" u="none" strike="noStrike" kern="1200" spc="0" baseline="0">
                <a:solidFill>
                  <a:schemeClr val="tx1"/>
                </a:solidFill>
                <a:latin typeface="+mn-lt"/>
                <a:ea typeface="+mn-ea"/>
                <a:cs typeface="+mn-cs"/>
              </a:defRPr>
            </a:pPr>
            <a:r>
              <a:t>收入预算图</a:t>
            </a:r>
          </a:p>
        </c:rich>
      </c:tx>
      <c:layout/>
      <c:overlay val="0"/>
      <c:spPr>
        <a:noFill/>
        <a:ln>
          <a:noFill/>
        </a:ln>
        <a:effectLst/>
      </c:spPr>
    </c:title>
    <c:autoTitleDeleted val="0"/>
    <c:view3D>
      <c:rotX val="25"/>
      <c:rotY val="0"/>
      <c:depthPercent val="100"/>
      <c:rAngAx val="0"/>
      <c:perspective val="20"/>
    </c:view3D>
    <c:floor>
      <c:thickness val="0"/>
    </c:floor>
    <c:sideWall>
      <c:thickness val="0"/>
    </c:sideWall>
    <c:backWall>
      <c:thickness val="0"/>
    </c:backWall>
    <c:plotArea>
      <c:layout/>
      <c:pie3DChart>
        <c:varyColors val="1"/>
        <c:ser>
          <c:idx val="0"/>
          <c:order val="0"/>
          <c:spPr>
            <a:ln w="15875" cmpd="sng">
              <a:solidFill>
                <a:schemeClr val="bg1"/>
              </a:solidFill>
              <a:prstDash val="solid"/>
            </a:ln>
            <a:effectLst/>
            <a:scene3d>
              <a:camera prst="orthographicFront"/>
              <a:lightRig rig="threePt" dir="t"/>
            </a:scene3d>
            <a:sp3d contourW="15875" prstMaterial="flat"/>
          </c:spPr>
          <c:explosion val="0"/>
          <c:dPt>
            <c:idx val="0"/>
            <c:bubble3D val="0"/>
            <c:spPr>
              <a:gradFill>
                <a:gsLst>
                  <a:gs pos="0">
                    <a:schemeClr val="accent1">
                      <a:lumMod val="60000"/>
                      <a:lumOff val="40000"/>
                    </a:schemeClr>
                  </a:gs>
                  <a:gs pos="70000">
                    <a:schemeClr val="accent1"/>
                  </a:gs>
                </a:gsLst>
                <a:lin ang="13500000" scaled="0"/>
              </a:gradFill>
              <a:ln w="15875" cmpd="sng">
                <a:solidFill>
                  <a:schemeClr val="accent1">
                    <a:lumMod val="75000"/>
                  </a:schemeClr>
                </a:solidFill>
                <a:prstDash val="solid"/>
              </a:ln>
              <a:effectLst/>
              <a:scene3d>
                <a:camera prst="orthographicFront"/>
                <a:lightRig rig="threePt" dir="t"/>
              </a:scene3d>
              <a:sp3d contourW="15875" prstMaterial="flat"/>
            </c:spPr>
          </c:dPt>
          <c:dLbls>
            <c:dLbl>
              <c:idx val="0"/>
              <c:layout/>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extLst>
                <c:ext xmlns:c15="http://schemas.microsoft.com/office/drawing/2012/chart" uri="{CE6537A1-D6FC-4f65-9D91-7224C49458BB}"/>
              </c:extLst>
            </c:dLbl>
            <c:numFmt formatCode="General" sourceLinked="1"/>
            <c:spPr>
              <a:noFill/>
              <a:ln>
                <a:noFill/>
              </a:ln>
              <a:effectLst/>
            </c:spPr>
            <c:txPr>
              <a:bodyPr rot="0" spcFirstLastPara="0" vertOverflow="ellipsis" vert="horz" wrap="square" lIns="38100" tIns="19050" rIns="38100" bIns="19050" anchor="ctr" anchorCtr="1" forceAA="0"/>
              <a:lstStyle/>
              <a:p>
                <a:pPr>
                  <a:defRPr lang="zh-CN" sz="900" b="0" i="0" u="none" strike="noStrike" kern="1200" baseline="0">
                    <a:solidFill>
                      <a:schemeClr val="bg1"/>
                    </a:solidFill>
                    <a:effectLst>
                      <a:outerShdw blurRad="50800" dist="38100" dir="2700000" algn="tl" rotWithShape="0">
                        <a:prstClr val="black">
                          <a:alpha val="40000"/>
                        </a:prstClr>
                      </a:outerShdw>
                    </a:effectLst>
                    <a:latin typeface="+mn-lt"/>
                    <a:ea typeface="+mn-ea"/>
                    <a:cs typeface="+mn-cs"/>
                  </a:defRPr>
                </a:pPr>
              </a:p>
            </c:txPr>
            <c:dLblPos val="inEnd"/>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chemeClr val="tx1">
                          <a:lumMod val="35000"/>
                          <a:lumOff val="65000"/>
                        </a:schemeClr>
                      </a:solidFill>
                      <a:prstDash val="solid"/>
                      <a:round/>
                    </a:ln>
                    <a:effectLst/>
                  </c:spPr>
                </c15:leaderLines>
              </c:ext>
            </c:extLst>
          </c:dLbls>
          <c:cat>
            <c:strRef>
              <c:extLst>
                <c:ext xmlns:c15="http://schemas.microsoft.com/office/drawing/2012/chart" uri="{02D57815-91ED-43cb-92C2-25804820EDAC}">
                  <c15:fullRef>
                    <c15:sqref>[收入预算图.xlsx]Sheet1!$B$31:$B$32</c15:sqref>
                  </c15:fullRef>
                </c:ext>
              </c:extLst>
              <c:f>[收入预算图.xlsx]Sheet1!$B$31</c:f>
              <c:strCache>
                <c:ptCount val="1"/>
                <c:pt idx="0">
                  <c:v>一般公共预算拨款收入</c:v>
                </c:pt>
              </c:strCache>
            </c:strRef>
          </c:cat>
          <c:val>
            <c:numRef>
              <c:extLst>
                <c:ext xmlns:c15="http://schemas.microsoft.com/office/drawing/2012/chart" uri="{02D57815-91ED-43cb-92C2-25804820EDAC}">
                  <c15:fullRef>
                    <c15:sqref>Sheet1!$C$31:$C$32</c15:sqref>
                  </c15:fullRef>
                </c:ext>
              </c:extLst>
              <c:f>[收入预算图.xlsx]Sheet1!$C$31</c:f>
              <c:numCache>
                <c:formatCode>0%</c:formatCode>
                <c:ptCount val="1"/>
                <c:pt idx="0">
                  <c:v>1</c:v>
                </c:pt>
              </c:numCache>
            </c:numRef>
          </c:val>
        </c:ser>
        <c:dLbls>
          <c:showLegendKey val="0"/>
          <c:showVal val="0"/>
          <c:showCatName val="0"/>
          <c:showSerName val="0"/>
          <c:showPercent val="1"/>
          <c:showBubbleSize val="0"/>
        </c:dLbls>
      </c:pie3DChart>
      <c:spPr>
        <a:noFill/>
        <a:ln>
          <a:noFill/>
        </a:ln>
        <a:effectLst/>
      </c:spPr>
    </c:plotArea>
    <c:legend>
      <c:legendPos val="r"/>
      <c:layout/>
      <c:overlay val="0"/>
      <c:spPr>
        <a:noFill/>
        <a:ln>
          <a:noFill/>
        </a:ln>
        <a:effectLst/>
      </c:spPr>
      <c:txPr>
        <a:bodyPr rot="0" spcFirstLastPara="0" vertOverflow="ellipsis" vert="horz" wrap="square" anchor="ctr" anchorCtr="1" forceAA="0"/>
        <a:lstStyle/>
        <a:p>
          <a:pPr>
            <a:defRPr lang="zh-CN" sz="900" b="0" i="0" u="none" strike="noStrike" kern="1200" baseline="0">
              <a:solidFill>
                <a:schemeClr val="tx1">
                  <a:lumMod val="50000"/>
                  <a:lumOff val="50000"/>
                </a:schemeClr>
              </a:solidFill>
              <a:latin typeface="+mn-lt"/>
              <a:ea typeface="+mn-ea"/>
              <a:cs typeface="+mn-cs"/>
            </a:defRPr>
          </a:pPr>
        </a:p>
      </c:txPr>
    </c:legend>
    <c:plotVisOnly val="1"/>
    <c:dispBlanksAs val="gap"/>
    <c:showDLblsOverMax val="0"/>
  </c:chart>
  <c:spPr>
    <a:solidFill>
      <a:schemeClr val="bg1"/>
    </a:solidFill>
    <a:ln w="9525" cap="flat" cmpd="sng" algn="ctr">
      <a:solidFill>
        <a:schemeClr val="bg1">
          <a:lumMod val="85000"/>
        </a:schemeClr>
      </a:solidFill>
      <a:prstDash val="solid"/>
      <a:round/>
    </a:ln>
    <a:effectLst>
      <a:outerShdw blurRad="63500" dist="37357" dir="2700000" sx="0" sy="0" rotWithShape="0">
        <a:scrgbClr r="0" g="0" b="0"/>
      </a:outerShdw>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title>
      <c:tx>
        <c:rich>
          <a:bodyPr rot="0" spcFirstLastPara="0" vertOverflow="ellipsis" vert="horz" wrap="square" anchor="ctr" anchorCtr="1"/>
          <a:lstStyle/>
          <a:p>
            <a:pPr>
              <a:defRPr lang="zh-CN" sz="1400" b="1" i="0" u="none" strike="noStrike" kern="1200" baseline="0">
                <a:solidFill>
                  <a:schemeClr val="dk1">
                    <a:lumMod val="75000"/>
                    <a:lumOff val="25000"/>
                  </a:schemeClr>
                </a:solidFill>
                <a:latin typeface="+mn-lt"/>
                <a:ea typeface="+mn-ea"/>
                <a:cs typeface="+mn-cs"/>
              </a:defRPr>
            </a:pPr>
            <a:r>
              <a:t>支出预算图</a:t>
            </a:r>
          </a:p>
        </c:rich>
      </c:tx>
      <c:layout/>
      <c:overlay val="0"/>
      <c:spPr>
        <a:noFill/>
        <a:ln>
          <a:noFill/>
        </a:ln>
        <a:effectLst/>
      </c:spPr>
    </c:title>
    <c:autoTitleDeleted val="0"/>
    <c:view3D>
      <c:rotX val="30"/>
      <c:rotY val="0"/>
      <c:depthPercent val="100"/>
      <c:rAngAx val="0"/>
    </c:view3D>
    <c:floor>
      <c:thickness val="0"/>
      <c:spPr>
        <a:noFill/>
        <a:effectLst/>
      </c:spPr>
    </c:floor>
    <c:sideWall>
      <c:thickness val="0"/>
      <c:spPr>
        <a:noFill/>
        <a:effectLst/>
      </c:spPr>
    </c:sideWall>
    <c:backWall>
      <c:thickness val="0"/>
      <c:spPr>
        <a:noFill/>
        <a:effectLst/>
      </c:spPr>
    </c:backWall>
    <c:plotArea>
      <c:layout>
        <c:manualLayout>
          <c:layoutTarget val="inner"/>
          <c:xMode val="edge"/>
          <c:yMode val="edge"/>
          <c:x val="0.0929603536400055"/>
          <c:y val="0.302044011849344"/>
          <c:w val="0.826511949164249"/>
          <c:h val="0.612797291578502"/>
        </c:manualLayout>
      </c:layout>
      <c:pie3DChart>
        <c:varyColors val="1"/>
        <c:ser>
          <c:idx val="0"/>
          <c:order val="0"/>
          <c:spPr>
            <a:scene3d>
              <a:camera prst="orthographicFront"/>
              <a:lightRig rig="threePt" dir="t"/>
            </a:scene3d>
            <a:sp3d contourW="9525"/>
          </c:spPr>
          <c:explosion val="0"/>
          <c:dPt>
            <c:idx val="0"/>
            <c:bubble3D val="0"/>
            <c:spPr>
              <a:gradFill>
                <a:gsLst>
                  <a:gs pos="100000">
                    <a:schemeClr val="accent1"/>
                  </a:gs>
                  <a:gs pos="0">
                    <a:schemeClr val="accent1">
                      <a:hueOff val="-1670000"/>
                    </a:schemeClr>
                  </a:gs>
                </a:gsLst>
                <a:lin ang="5400000" scaled="0"/>
              </a:gradFill>
              <a:ln>
                <a:gradFill>
                  <a:gsLst>
                    <a:gs pos="100000">
                      <a:schemeClr val="accent1">
                        <a:lumMod val="75000"/>
                      </a:schemeClr>
                    </a:gs>
                    <a:gs pos="0">
                      <a:schemeClr val="accent1">
                        <a:lumMod val="75000"/>
                        <a:hueOff val="-1670000"/>
                      </a:schemeClr>
                    </a:gs>
                  </a:gsLst>
                  <a:lin ang="4620000" scaled="0"/>
                </a:gradFill>
              </a:ln>
              <a:effectLst/>
            </c:spPr>
          </c:dPt>
          <c:dPt>
            <c:idx val="1"/>
            <c:bubble3D val="0"/>
            <c:spPr>
              <a:gradFill>
                <a:gsLst>
                  <a:gs pos="100000">
                    <a:schemeClr val="accent2"/>
                  </a:gs>
                  <a:gs pos="0">
                    <a:schemeClr val="accent2">
                      <a:hueOff val="-1670000"/>
                    </a:schemeClr>
                  </a:gs>
                </a:gsLst>
                <a:lin ang="5400000" scaled="0"/>
              </a:gradFill>
              <a:ln>
                <a:gradFill>
                  <a:gsLst>
                    <a:gs pos="100000">
                      <a:schemeClr val="accent2">
                        <a:lumMod val="75000"/>
                      </a:schemeClr>
                    </a:gs>
                    <a:gs pos="0">
                      <a:schemeClr val="accent2">
                        <a:lumMod val="75000"/>
                        <a:hueOff val="-1670000"/>
                      </a:schemeClr>
                    </a:gs>
                  </a:gsLst>
                  <a:lin ang="4620000" scaled="0"/>
                </a:gradFill>
              </a:ln>
              <a:effectLst/>
            </c:spPr>
          </c:dPt>
          <c:dPt>
            <c:idx val="2"/>
            <c:bubble3D val="0"/>
            <c:spPr>
              <a:gradFill>
                <a:gsLst>
                  <a:gs pos="100000">
                    <a:schemeClr val="accent3"/>
                  </a:gs>
                  <a:gs pos="0">
                    <a:schemeClr val="accent3">
                      <a:hueOff val="-1670000"/>
                    </a:schemeClr>
                  </a:gs>
                </a:gsLst>
                <a:lin ang="5400000" scaled="0"/>
              </a:gradFill>
              <a:ln>
                <a:gradFill>
                  <a:gsLst>
                    <a:gs pos="100000">
                      <a:schemeClr val="accent3">
                        <a:lumMod val="75000"/>
                      </a:schemeClr>
                    </a:gs>
                    <a:gs pos="0">
                      <a:schemeClr val="accent3">
                        <a:lumMod val="75000"/>
                        <a:hueOff val="-1670000"/>
                      </a:schemeClr>
                    </a:gs>
                  </a:gsLst>
                  <a:lin ang="4620000" scaled="0"/>
                </a:gradFill>
              </a:ln>
              <a:effectLst/>
            </c:spPr>
          </c:dPt>
          <c:dPt>
            <c:idx val="3"/>
            <c:bubble3D val="0"/>
            <c:spPr>
              <a:gradFill>
                <a:gsLst>
                  <a:gs pos="100000">
                    <a:schemeClr val="accent4"/>
                  </a:gs>
                  <a:gs pos="0">
                    <a:schemeClr val="accent4">
                      <a:hueOff val="-1670000"/>
                    </a:schemeClr>
                  </a:gs>
                </a:gsLst>
                <a:lin ang="5400000" scaled="0"/>
              </a:gradFill>
              <a:ln>
                <a:gradFill>
                  <a:gsLst>
                    <a:gs pos="100000">
                      <a:schemeClr val="accent4">
                        <a:lumMod val="75000"/>
                      </a:schemeClr>
                    </a:gs>
                    <a:gs pos="0">
                      <a:schemeClr val="accent4">
                        <a:lumMod val="75000"/>
                        <a:hueOff val="-1670000"/>
                      </a:schemeClr>
                    </a:gs>
                  </a:gsLst>
                  <a:lin ang="4620000" scaled="0"/>
                </a:gradFill>
              </a:ln>
              <a:effectLst/>
            </c:spPr>
          </c:dPt>
          <c:dLbls>
            <c:dLbl>
              <c:idx val="0"/>
              <c:layout>
                <c:manualLayout>
                  <c:x val="-0.0963518896919145"/>
                  <c:y val="-0.0451279641248638"/>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1"/>
              <c:layout>
                <c:manualLayout>
                  <c:x val="-0.00870677353996511"/>
                  <c:y val="-0.0723128019323671"/>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2"/>
              <c:layout>
                <c:manualLayout>
                  <c:x val="-0.130597809552784"/>
                  <c:y val="-0.0692934782608696"/>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dLbl>
              <c:idx val="3"/>
              <c:layout>
                <c:manualLayout>
                  <c:x val="-0.240660118818549"/>
                  <c:y val="0.0108389392220462"/>
                </c:manualLayout>
              </c:layout>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bestFit"/>
              <c:showLegendKey val="0"/>
              <c:showVal val="0"/>
              <c:showCatName val="1"/>
              <c:showSerName val="0"/>
              <c:showPercent val="1"/>
              <c:showBubbleSize val="0"/>
              <c:separator> </c:separator>
              <c:extLst>
                <c:ext xmlns:c15="http://schemas.microsoft.com/office/drawing/2012/chart" uri="{CE6537A1-D6FC-4f65-9D91-7224C49458BB}">
                  <c15:layout/>
                </c:ext>
              </c:extLst>
            </c:dLbl>
            <c:numFmt formatCode="0.00%" sourceLinked="0"/>
            <c:spPr>
              <a:solidFill>
                <a:sysClr val="window" lastClr="FFFFFF"/>
              </a:solidFill>
              <a:ln>
                <a:solidFill>
                  <a:sysClr val="windowText" lastClr="000000">
                    <a:lumMod val="65000"/>
                    <a:lumOff val="35000"/>
                  </a:sysClr>
                </a:solidFill>
              </a:ln>
              <a:effectLst/>
            </c:spPr>
            <c:txPr>
              <a:bodyPr rot="0" spcFirstLastPara="0" vertOverflow="ellipsis" vert="horz" wrap="square" lIns="38100" tIns="19050" rIns="38100" bIns="19050" anchor="ctr" anchorCtr="1"/>
              <a:lstStyle/>
              <a:p>
                <a:pPr>
                  <a:defRPr lang="zh-CN" sz="1000" b="0" i="0" u="none" strike="noStrike" kern="1200" baseline="0">
                    <a:solidFill>
                      <a:schemeClr val="dk1">
                        <a:lumMod val="75000"/>
                        <a:lumOff val="25000"/>
                      </a:schemeClr>
                    </a:solidFill>
                    <a:latin typeface="+mn-lt"/>
                    <a:ea typeface="+mn-ea"/>
                    <a:cs typeface="+mn-cs"/>
                  </a:defRPr>
                </a:pPr>
              </a:p>
            </c:txPr>
            <c:dLblPos val="outEnd"/>
            <c:showLegendKey val="0"/>
            <c:showVal val="0"/>
            <c:showCatName val="1"/>
            <c:showSerName val="0"/>
            <c:showPercent val="1"/>
            <c:showBubbleSize val="0"/>
            <c:separator> </c:separator>
            <c:showLeaderLines val="1"/>
            <c:extLst>
              <c:ext xmlns:c15="http://schemas.microsoft.com/office/drawing/2012/chart" uri="{CE6537A1-D6FC-4f65-9D91-7224C49458BB}">
                <c15:spPr xmlns:c15="http://schemas.microsoft.com/office/drawing/2012/chart">
                  <a:prstGeom prst="roundRect">
                    <a:avLst/>
                  </a:prstGeom>
                  <a:noFill/>
                  <a:ln>
                    <a:noFill/>
                  </a:ln>
                </c15:spPr>
                <c15:layout/>
                <c15:showLeaderLines val="1"/>
                <c15:leaderLines>
                  <c:spPr>
                    <a:ln w="9525">
                      <a:solidFill>
                        <a:schemeClr val="dk1">
                          <a:lumMod val="35000"/>
                          <a:lumOff val="65000"/>
                        </a:schemeClr>
                      </a:solidFill>
                    </a:ln>
                    <a:effectLst/>
                  </c:spPr>
                </c15:leaderLines>
              </c:ext>
            </c:extLst>
          </c:dLbls>
          <c:cat>
            <c:strRef>
              <c:f>[收入预算图.xlsx]Sheet1!$B$2:$B$5</c:f>
              <c:strCache>
                <c:ptCount val="4"/>
                <c:pt idx="0">
                  <c:v>社会保障和就业支出</c:v>
                </c:pt>
                <c:pt idx="1">
                  <c:v>卫生健康支出</c:v>
                </c:pt>
                <c:pt idx="2">
                  <c:v>一般公共服务支出</c:v>
                </c:pt>
                <c:pt idx="3">
                  <c:v>住房保障支出</c:v>
                </c:pt>
              </c:strCache>
            </c:strRef>
          </c:cat>
          <c:val>
            <c:numRef>
              <c:f>[收入预算图.xlsx]Sheet1!$C$2:$C$5</c:f>
              <c:numCache>
                <c:formatCode>0.00%</c:formatCode>
                <c:ptCount val="4"/>
                <c:pt idx="0">
                  <c:v>0.0853</c:v>
                </c:pt>
                <c:pt idx="1">
                  <c:v>0.0281</c:v>
                </c:pt>
                <c:pt idx="2">
                  <c:v>0.8404</c:v>
                </c:pt>
                <c:pt idx="3">
                  <c:v>0.0462</c:v>
                </c:pt>
              </c:numCache>
            </c:numRef>
          </c:val>
        </c:ser>
        <c:dLbls>
          <c:showLegendKey val="0"/>
          <c:showVal val="0"/>
          <c:showCatName val="1"/>
          <c:showSerName val="0"/>
          <c:showPercent val="1"/>
          <c:showBubbleSize val="0"/>
        </c:dLbls>
      </c:pie3DChart>
      <c:spPr>
        <a:noFill/>
        <a:ln>
          <a:noFill/>
        </a:ln>
        <a:effectLst/>
      </c:spPr>
    </c:plotArea>
    <c:legend>
      <c:legendPos val="t"/>
      <c:layout/>
      <c:overlay val="0"/>
      <c:spPr>
        <a:noFill/>
        <a:ln>
          <a:noFill/>
        </a:ln>
        <a:effectLst/>
      </c:spPr>
      <c:txPr>
        <a:bodyPr rot="0" spcFirstLastPara="0" vertOverflow="ellipsis" vert="horz" wrap="square" anchor="ctr" anchorCtr="1"/>
        <a:lstStyle/>
        <a:p>
          <a:pPr>
            <a:defRPr lang="zh-CN" sz="900" b="0" i="0" u="none" strike="noStrike" kern="1200" baseline="0">
              <a:solidFill>
                <a:schemeClr val="dk1">
                  <a:lumMod val="65000"/>
                  <a:lumOff val="35000"/>
                </a:schemeClr>
              </a:solidFill>
              <a:latin typeface="+mn-lt"/>
              <a:ea typeface="+mn-ea"/>
              <a:cs typeface="+mn-cs"/>
            </a:defRPr>
          </a:pPr>
        </a:p>
      </c:txPr>
    </c:legend>
    <c:plotVisOnly val="1"/>
    <c:dispBlanksAs val="gap"/>
    <c:showDLblsOverMax val="0"/>
  </c:chart>
  <c:spPr>
    <a:solidFill>
      <a:schemeClr val="lt1">
        <a:lumMod val="96000"/>
      </a:schemeClr>
    </a:solidFill>
    <a:ln w="9525" cap="flat" cmpd="sng" algn="ctr">
      <a:solidFill>
        <a:schemeClr val="tx1">
          <a:lumMod val="15000"/>
          <a:lumOff val="85000"/>
        </a:schemeClr>
      </a:solidFill>
      <a:round/>
    </a:ln>
    <a:effectLst/>
  </c:spPr>
  <c:txPr>
    <a:bodyPr/>
    <a:lstStyle/>
    <a:p>
      <a:pPr>
        <a:defRPr lang="zh-CN"/>
      </a:pPr>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97">
  <cs:axisTitle>
    <cs:lnRef idx="0"/>
    <cs:fillRef idx="0"/>
    <cs:effectRef idx="0"/>
    <cs:fontRef idx="minor">
      <a:schemeClr val="dk1">
        <a:lumMod val="65000"/>
        <a:lumOff val="35000"/>
      </a:schemeClr>
    </cs:fontRef>
    <cs:defRPr sz="1000" kern="1200"/>
  </cs:axisTitle>
  <cs:categoryAxis>
    <cs:lnRef idx="0"/>
    <cs:fillRef idx="0"/>
    <cs:effectRef idx="0"/>
    <cs:fontRef idx="minor">
      <a:schemeClr val="dk1">
        <a:lumMod val="65000"/>
        <a:lumOff val="35000"/>
      </a:schemeClr>
    </cs:fontRef>
    <cs:spPr>
      <a:ln w="9525" cap="flat" cmpd="sng" algn="ctr">
        <a:solidFill>
          <a:schemeClr val="dk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lt1">
          <a:lumMod val="96000"/>
        </a:schemeClr>
      </a:solidFill>
      <a:ln w="9525" cap="flat" cmpd="sng" algn="ctr">
        <a:solidFill>
          <a:schemeClr val="tx1">
            <a:lumMod val="15000"/>
            <a:lumOff val="85000"/>
          </a:schemeClr>
        </a:solidFill>
        <a:round/>
      </a:ln>
    </cs:spPr>
    <cs:defRPr sz="1000" kern="1200"/>
  </cs:chartArea>
  <cs:dataLabel>
    <cs:lnRef idx="0"/>
    <cs:fillRef idx="0"/>
    <cs:effectRef idx="0"/>
    <cs:fontRef idx="minor">
      <a:schemeClr val="dk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styleClr val="auto"/>
    </cs:lnRef>
    <cs:fillRef idx="0">
      <cs:styleClr val="auto"/>
    </cs:fillRef>
    <cs:effectRef idx="0"/>
    <cs:fontRef idx="minor">
      <a:schemeClr val="dk1"/>
    </cs:fontRef>
    <cs:spPr>
      <a:gradFill>
        <a:gsLst>
          <a:gs pos="100000">
            <a:schemeClr val="phClr"/>
          </a:gs>
          <a:gs pos="0">
            <a:schemeClr val="phClr">
              <a:hueOff val="-1670000"/>
            </a:schemeClr>
          </a:gs>
        </a:gsLst>
        <a:lin ang="5400000" scaled="0"/>
      </a:gradFill>
      <a:ln>
        <a:gradFill>
          <a:gsLst>
            <a:gs pos="100000">
              <a:schemeClr val="phClr">
                <a:lumMod val="75000"/>
              </a:schemeClr>
            </a:gs>
            <a:gs pos="0">
              <a:schemeClr val="phClr">
                <a:lumMod val="75000"/>
                <a:hueOff val="-1670000"/>
              </a:schemeClr>
            </a:gs>
          </a:gsLst>
          <a:lin ang="4620000" scaled="0"/>
        </a:gradFill>
      </a:ln>
      <a:effectLst/>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dk1">
        <a:lumMod val="65000"/>
        <a:lumOff val="35000"/>
      </a:schemeClr>
    </cs:fontRef>
    <cs:spPr>
      <a:noFill/>
      <a:ln w="9525" cap="flat" cmpd="sng" algn="ctr">
        <a:solidFill>
          <a:schemeClr val="dk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a:solidFill>
          <a:schemeClr val="dk1">
            <a:lumMod val="35000"/>
            <a:lumOff val="65000"/>
          </a:schemeClr>
        </a:solidFill>
      </a:ln>
    </cs:spPr>
  </cs:dropLine>
  <cs:errorBar>
    <cs:lnRef idx="0"/>
    <cs:fillRef idx="0"/>
    <cs:effectRef idx="0"/>
    <cs:fontRef idx="minor">
      <a:schemeClr val="tx1"/>
    </cs:fontRef>
    <cs:spPr>
      <a:ln w="9525" cap="flat" cmpd="sng" algn="ctr">
        <a:solidFill>
          <a:schemeClr val="dk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a:solidFill>
          <a:schemeClr val="dk1">
            <a:lumMod val="75000"/>
            <a:lumOff val="25000"/>
          </a:schemeClr>
        </a:solidFill>
      </a:ln>
    </cs:spPr>
  </cs:hiLoLine>
  <cs:leaderLine>
    <cs:lnRef idx="0"/>
    <cs:fillRef idx="0"/>
    <cs:effectRef idx="0"/>
    <cs:fontRef idx="minor">
      <a:schemeClr val="tx1"/>
    </cs:fontRef>
    <cs:spPr>
      <a:ln w="9525">
        <a:solidFill>
          <a:schemeClr val="dk1">
            <a:lumMod val="35000"/>
            <a:lumOff val="65000"/>
          </a:schemeClr>
        </a:solidFill>
      </a:ln>
    </cs:spPr>
  </cs:leaderLine>
  <cs:legend>
    <cs:lnRef idx="0"/>
    <cs:fillRef idx="0"/>
    <cs:effectRef idx="0"/>
    <cs:fontRef idx="minor">
      <a:schemeClr val="dk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dk1">
        <a:lumMod val="65000"/>
        <a:lumOff val="35000"/>
      </a:schemeClr>
    </cs:fontRef>
    <cs:defRPr sz="900" kern="1200"/>
  </cs:seriesAxis>
  <cs:seriesLine>
    <cs:lnRef idx="0"/>
    <cs:fillRef idx="0"/>
    <cs:effectRef idx="0"/>
    <cs:fontRef idx="minor">
      <a:schemeClr val="tx1"/>
    </cs:fontRef>
    <cs:spPr>
      <a:ln w="9525">
        <a:solidFill>
          <a:schemeClr val="dk1">
            <a:lumMod val="35000"/>
            <a:lumOff val="65000"/>
          </a:schemeClr>
        </a:solidFill>
      </a:ln>
    </cs:spPr>
  </cs:seriesLine>
  <cs:title>
    <cs:lnRef idx="0"/>
    <cs:fillRef idx="0"/>
    <cs:effectRef idx="0"/>
    <cs:fontRef idx="minor">
      <a:schemeClr val="dk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dk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dk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word/theme/themeOverride1.xml><?xml version="1.0" encoding="utf-8"?>
<a:themeOverride xmlns:a="http://schemas.openxmlformats.org/drawingml/2006/main">
  <a:clrScheme name="自定义 6">
    <a:dk1>
      <a:srgbClr val="000000"/>
    </a:dk1>
    <a:lt1>
      <a:srgbClr val="FFFFFF"/>
    </a:lt1>
    <a:dk2>
      <a:srgbClr val="0C0E1F"/>
    </a:dk2>
    <a:lt2>
      <a:srgbClr val="FEFFFF"/>
    </a:lt2>
    <a:accent1>
      <a:srgbClr val="54C9FA"/>
    </a:accent1>
    <a:accent2>
      <a:srgbClr val="6C92FD"/>
    </a:accent2>
    <a:accent3>
      <a:srgbClr val="FF731F"/>
    </a:accent3>
    <a:accent4>
      <a:srgbClr val="16CC8A"/>
    </a:accent4>
    <a:accent5>
      <a:srgbClr val="FFC619"/>
    </a:accent5>
    <a:accent6>
      <a:srgbClr val="4E37FF"/>
    </a:accent6>
    <a:hlink>
      <a:srgbClr val="304FFE"/>
    </a:hlink>
    <a:folHlink>
      <a:srgbClr val="492067"/>
    </a:folHlink>
  </a:clrScheme>
  <a:fontScheme name="自定义 2">
    <a:majorFont>
      <a:latin typeface="微软雅黑"/>
      <a:ea typeface="微软雅黑"/>
      <a:cs typeface=""/>
    </a:majorFont>
    <a:minorFont>
      <a:latin typeface="微软雅黑"/>
      <a:ea typeface="微软雅黑"/>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Normal.dotm</Template>
  <Pages>11</Pages>
  <Words>3209</Words>
  <Characters>3468</Characters>
  <Lines>0</Lines>
  <Paragraphs>0</Paragraphs>
  <TotalTime>5</TotalTime>
  <ScaleCrop>false</ScaleCrop>
  <LinksUpToDate>false</LinksUpToDate>
  <CharactersWithSpaces>3474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2024-05-22T14:39:00Z</dcterms:created>
  <dc:creator>dell</dc:creator>
  <cp:lastModifiedBy>dell</cp:lastModifiedBy>
  <dcterms:modified xsi:type="dcterms:W3CDTF">2024-06-09T08:30:33Z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A251D3BF32924957B75E360195F7DB27_13</vt:lpwstr>
  </property>
</Properties>
</file>