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中共岳阳市君山区委党史研究室</w:t>
      </w:r>
    </w:p>
    <w:p>
      <w:pPr>
        <w:spacing w:line="570" w:lineRule="atLeas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2024年部门预算公开</w:t>
      </w:r>
    </w:p>
    <w:p>
      <w:pPr>
        <w:jc w:val="cente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both"/>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eastAsia="黑体" w:asciiTheme="minorEastAsia" w:hAnsiTheme="minorEastAsia" w:cstheme="minorEastAsia"/>
          <w:sz w:val="28"/>
          <w:szCs w:val="28"/>
          <w:lang w:eastAsia="zh-CN"/>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widowControl/>
        <w:spacing w:line="600" w:lineRule="exact"/>
        <w:ind w:firstLine="640" w:firstLineChars="200"/>
        <w:jc w:val="left"/>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贯彻执行中共中央、省委、市委关于党史、地方志编修、档案管理的有关方针政策及规定，落实区委拟定的地方性的党史、地方志编修、档案管理工作的政策、规定、规划；</w:t>
      </w:r>
    </w:p>
    <w:p>
      <w:pPr>
        <w:widowControl/>
        <w:spacing w:line="600" w:lineRule="exact"/>
        <w:ind w:firstLine="640" w:firstLineChars="200"/>
        <w:jc w:val="left"/>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收集整理研究君山地方党史、地方志文献资料，编辑出版《中共君山历史》等党史书刊和老同志回忆录，编写党史人物传记；</w:t>
      </w:r>
    </w:p>
    <w:p>
      <w:pPr>
        <w:widowControl/>
        <w:spacing w:line="600" w:lineRule="exact"/>
        <w:ind w:firstLine="640" w:firstLineChars="200"/>
        <w:jc w:val="left"/>
        <w:rPr>
          <w:rFonts w:hint="eastAsia" w:eastAsia="仿宋_GB2312"/>
          <w:sz w:val="32"/>
          <w:szCs w:val="32"/>
        </w:rPr>
      </w:pPr>
      <w:r>
        <w:rPr>
          <w:rFonts w:hint="eastAsia" w:eastAsia="仿宋_GB2312"/>
          <w:sz w:val="32"/>
          <w:szCs w:val="32"/>
          <w:lang w:val="en-US" w:eastAsia="zh-CN"/>
        </w:rPr>
        <w:t>3、</w:t>
      </w:r>
      <w:r>
        <w:rPr>
          <w:rFonts w:hint="eastAsia" w:eastAsia="仿宋_GB2312"/>
          <w:sz w:val="32"/>
          <w:szCs w:val="32"/>
        </w:rPr>
        <w:t>组织编辑出版 《君山区志》和《君山年鉴》;</w:t>
      </w:r>
    </w:p>
    <w:p>
      <w:pPr>
        <w:widowControl/>
        <w:spacing w:line="600" w:lineRule="exact"/>
        <w:ind w:firstLine="640" w:firstLineChars="200"/>
        <w:jc w:val="left"/>
        <w:rPr>
          <w:rFonts w:hint="eastAsia" w:eastAsia="仿宋_GB2312"/>
          <w:sz w:val="32"/>
          <w:szCs w:val="32"/>
        </w:rPr>
      </w:pPr>
      <w:r>
        <w:rPr>
          <w:rFonts w:hint="eastAsia" w:eastAsia="仿宋_GB2312"/>
          <w:sz w:val="32"/>
          <w:szCs w:val="32"/>
          <w:lang w:val="en-US" w:eastAsia="zh-CN"/>
        </w:rPr>
        <w:t>4、</w:t>
      </w:r>
      <w:r>
        <w:rPr>
          <w:rFonts w:hint="eastAsia" w:eastAsia="仿宋_GB2312"/>
          <w:sz w:val="32"/>
          <w:szCs w:val="32"/>
        </w:rPr>
        <w:t>负责接收按照规定移交进馆的各种门类和载体的档案资料，负责征集散存在社会上的反应我区各个历史时期具有重要历史价值和历史研究的档案资料及著名人物在君山活动中形成的档案资料；</w:t>
      </w:r>
    </w:p>
    <w:p>
      <w:pPr>
        <w:widowControl/>
        <w:spacing w:line="600" w:lineRule="exact"/>
        <w:ind w:firstLine="640" w:firstLineChars="200"/>
        <w:jc w:val="left"/>
        <w:rPr>
          <w:rFonts w:hint="eastAsia" w:eastAsia="仿宋_GB2312"/>
          <w:sz w:val="32"/>
          <w:szCs w:val="32"/>
        </w:rPr>
      </w:pPr>
      <w:r>
        <w:rPr>
          <w:rFonts w:hint="eastAsia" w:eastAsia="仿宋_GB2312"/>
          <w:sz w:val="32"/>
          <w:szCs w:val="32"/>
          <w:lang w:val="en-US" w:eastAsia="zh-CN"/>
        </w:rPr>
        <w:t>5、</w:t>
      </w:r>
      <w:r>
        <w:rPr>
          <w:rFonts w:hint="eastAsia" w:eastAsia="仿宋_GB2312"/>
          <w:sz w:val="32"/>
          <w:szCs w:val="32"/>
        </w:rPr>
        <w:t>负责馆藏资料的的科学分类和保管，建立全宗卷，记载立档单位和全宗历史演变情况；</w:t>
      </w:r>
    </w:p>
    <w:p>
      <w:pPr>
        <w:widowControl/>
        <w:spacing w:line="600" w:lineRule="exact"/>
        <w:ind w:firstLine="640" w:firstLineChars="200"/>
        <w:jc w:val="left"/>
        <w:rPr>
          <w:rFonts w:eastAsia="楷体_GB2312"/>
          <w:b/>
          <w:sz w:val="32"/>
          <w:szCs w:val="32"/>
        </w:rPr>
      </w:pPr>
      <w:r>
        <w:rPr>
          <w:rFonts w:hint="eastAsia" w:eastAsia="仿宋_GB2312"/>
          <w:sz w:val="32"/>
          <w:szCs w:val="32"/>
          <w:lang w:val="en-US" w:eastAsia="zh-CN"/>
        </w:rPr>
        <w:t>6、</w:t>
      </w:r>
      <w:r>
        <w:rPr>
          <w:rFonts w:hint="eastAsia" w:eastAsia="仿宋_GB2312"/>
          <w:sz w:val="32"/>
          <w:szCs w:val="32"/>
        </w:rPr>
        <w:t>利用现代化管理技术和设备研究档案现代化管理技术，提高档案管理的现代化水平，推进区档案数字化建设，全方位有效的开发档案信息资源。</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widowControl/>
        <w:spacing w:line="600" w:lineRule="exact"/>
        <w:ind w:firstLine="640" w:firstLineChars="200"/>
        <w:jc w:val="left"/>
        <w:rPr>
          <w:rFonts w:eastAsia="楷体_GB2312"/>
          <w:b/>
          <w:sz w:val="32"/>
          <w:szCs w:val="32"/>
        </w:rPr>
      </w:pPr>
      <w:r>
        <w:rPr>
          <w:rFonts w:hint="eastAsia" w:eastAsia="仿宋_GB2312"/>
          <w:sz w:val="32"/>
          <w:szCs w:val="32"/>
        </w:rPr>
        <w:t>区委党史研究室设6个内设机构：办公室、党史编研股、地方志编纂股、档案接收征集股、档案管理利用股、信息技术股。</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二、部门预算单位构成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Theme="minorEastAsia" w:hAnsiTheme="minorEastAsia" w:eastAsiaTheme="minorEastAsia" w:cstheme="minorEastAsia"/>
          <w:i w:val="0"/>
          <w:iCs w:val="0"/>
          <w:caps w:val="0"/>
          <w:color w:val="333333"/>
          <w:spacing w:val="0"/>
          <w:sz w:val="28"/>
          <w:szCs w:val="28"/>
          <w:shd w:val="clear" w:fill="FFFFFF"/>
        </w:rPr>
      </w:pPr>
      <w:bookmarkStart w:id="0" w:name="DEPT_COMPOSE"/>
      <w:r>
        <w:rPr>
          <w:rFonts w:hint="eastAsia" w:ascii="仿宋_GB2312" w:hAnsi="仿宋_GB2312" w:eastAsia="仿宋_GB2312" w:cs="仿宋_GB2312"/>
          <w:color w:val="000000"/>
          <w:kern w:val="2"/>
          <w:sz w:val="32"/>
          <w:szCs w:val="32"/>
          <w:shd w:val="clear" w:color="auto" w:fill="FFFFFF"/>
          <w:lang w:val="en-US" w:eastAsia="zh-CN" w:bidi="ar-SA"/>
        </w:rPr>
        <w:t>中共岳阳市君山区委党史研究室部门只有本级，没有其他二级预算单位，因此，纳入2024年部门预算编制范围的只有中共岳阳市君山区委党史研究室本级。</w:t>
      </w:r>
      <w:bookmarkEnd w:id="0"/>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lang w:val="en-US" w:eastAsia="zh-CN"/>
        </w:rPr>
        <w:t>三、</w:t>
      </w:r>
      <w:r>
        <w:rPr>
          <w:rFonts w:hint="eastAsia" w:ascii="Times New Roman" w:hAnsi="Times New Roman" w:eastAsia="黑体" w:cs="Times New Roman"/>
          <w:b/>
          <w:bCs/>
          <w:kern w:val="0"/>
          <w:sz w:val="32"/>
          <w:szCs w:val="32"/>
        </w:rPr>
        <w:t>部门收支总体情况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本部门2024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收入预算：</w:t>
      </w:r>
      <w:r>
        <w:rPr>
          <w:rFonts w:hint="eastAsia" w:ascii="仿宋_GB2312" w:hAnsi="仿宋_GB2312" w:eastAsia="仿宋_GB2312" w:cs="仿宋_GB2312"/>
          <w:color w:val="000000"/>
          <w:kern w:val="2"/>
          <w:sz w:val="32"/>
          <w:szCs w:val="32"/>
          <w:shd w:val="clear" w:color="auto" w:fill="FFFFFF"/>
          <w:lang w:val="en-US" w:eastAsia="zh-CN" w:bidi="ar-SA"/>
        </w:rPr>
        <w:t>包括一般公共预算、政府性基金、国有资本经营预算等财政拨款收入，以及经营收入、事业收入等单位资金。2024年本部门收入预算211.39万元，其中，一般公共预算拨款211.39万元，政府性基金预算资金0.00万元(所以公开的附件15-17表为空)，国有资本经营预算资金0.00万元(所以公开的附件18表为空)，财政专户管理资金0.00万元(所以公开的附件19表为空)，上级补助收入资金0.00万元，事业单位经营收入资金0.00万元，上年结转结余0.00万元。收入较上年增加33.31万元，上升18.71%。主要原因是2024年新增了2名工作人员，从而导致工资福利支出、公用经费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4826000" cy="2743200"/>
            <wp:effectExtent l="4445" t="4445" r="8255" b="52705"/>
            <wp:docPr id="8" name="图表 7" descr="7b0a202020202263686172745265734964223a202232303437363039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支出预算：</w:t>
      </w:r>
      <w:r>
        <w:rPr>
          <w:rFonts w:hint="eastAsia" w:ascii="仿宋_GB2312" w:hAnsi="仿宋_GB2312" w:eastAsia="仿宋_GB2312" w:cs="仿宋_GB2312"/>
          <w:color w:val="000000"/>
          <w:kern w:val="2"/>
          <w:sz w:val="32"/>
          <w:szCs w:val="32"/>
          <w:shd w:val="clear" w:color="auto" w:fill="FFFFFF"/>
          <w:lang w:val="en-US" w:eastAsia="zh-CN" w:bidi="ar-SA"/>
        </w:rPr>
        <w:t>2024年本部门支出预算211.39万元，其中：社会保障和就业支出18.5万元，卫生健康支出6.2万元，一般公共服务支出176.74万元，住房保障支出9.95万元。支出较上年增加33.31万元，上升18.71%。主要原因是2024年新增了2名工作人员，从而导致工资福利支出、公用经费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lang w:val="en-US" w:eastAsia="zh-CN"/>
        </w:rPr>
        <w:t xml:space="preserve">      </w:t>
      </w:r>
      <w:r>
        <w:drawing>
          <wp:inline distT="0" distB="0" distL="114300" distR="114300">
            <wp:extent cx="4596765" cy="3001010"/>
            <wp:effectExtent l="4445" t="4445" r="8890" b="23495"/>
            <wp:docPr id="1"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2024年本部门一般公共预算拨款支出211.39万元，其中：社会保障和就业支出18.5万元，占8.75%；卫生健康支出6.2万元，占2.93%；一般公共服务支出176.74万元，占83.61%</w:t>
      </w:r>
      <w:r>
        <w:rPr>
          <w:rFonts w:hint="eastAsia" w:ascii="仿宋_GB2312" w:hAnsi="仿宋_GB2312" w:eastAsia="仿宋_GB2312" w:cs="仿宋_GB2312"/>
          <w:color w:val="000000"/>
          <w:kern w:val="2"/>
          <w:sz w:val="36"/>
          <w:szCs w:val="36"/>
          <w:shd w:val="clear" w:color="auto" w:fill="FFFFFF"/>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住房保障支出9.95万元，占4.71%。具体安排情况如下：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sz w:val="32"/>
          <w:szCs w:val="32"/>
        </w:rPr>
        <w:t>（一）基本支出：</w:t>
      </w:r>
      <w:r>
        <w:rPr>
          <w:rFonts w:hint="eastAsia" w:ascii="仿宋_GB2312" w:hAnsi="仿宋_GB2312" w:eastAsia="仿宋_GB2312" w:cs="仿宋_GB2312"/>
          <w:color w:val="000000"/>
          <w:kern w:val="2"/>
          <w:sz w:val="32"/>
          <w:szCs w:val="32"/>
          <w:shd w:val="clear" w:color="auto" w:fill="FFFFFF"/>
          <w:lang w:val="en-US" w:eastAsia="zh-CN" w:bidi="ar-SA"/>
        </w:rPr>
        <w:t>2024年本部门基本支出预算数133.39万元，主要是为保障部门正常运转、完成日常工作任务而发生的各项支出，包括用于基本工资、津贴补贴等人员经费以及办公费、印刷费、水电费、办公设备购置等公用经费。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kern w:val="2"/>
          <w:sz w:val="32"/>
          <w:szCs w:val="32"/>
          <w:shd w:val="clear" w:color="auto" w:fill="FFFFFF"/>
          <w:lang w:val="en-US" w:eastAsia="zh-CN" w:bidi="ar-SA"/>
        </w:rPr>
        <w:t>2024年本部门项目支出预算78万元，主要是本部门为完成特定工作任务或事业发展目标而发生的支出，包括业务工作经费、党史研究专项等，其中：一般公共服务支出78万元，主要用于完成本部门2024年度</w:t>
      </w:r>
      <w:r>
        <w:rPr>
          <w:rFonts w:hint="eastAsia" w:eastAsia="仿宋_GB2312"/>
          <w:sz w:val="32"/>
          <w:szCs w:val="32"/>
        </w:rPr>
        <w:t>专研方志</w:t>
      </w:r>
      <w:r>
        <w:rPr>
          <w:rFonts w:hint="eastAsia" w:eastAsia="仿宋_GB2312"/>
          <w:sz w:val="32"/>
          <w:szCs w:val="32"/>
          <w:lang w:eastAsia="zh-CN"/>
        </w:rPr>
        <w:t>、</w:t>
      </w:r>
      <w:r>
        <w:rPr>
          <w:rFonts w:hint="eastAsia" w:eastAsia="仿宋_GB2312"/>
          <w:sz w:val="32"/>
          <w:szCs w:val="32"/>
        </w:rPr>
        <w:t>潜心编研，扎实推进党史研究</w:t>
      </w:r>
      <w:r>
        <w:rPr>
          <w:rFonts w:hint="eastAsia" w:ascii="Times New Roman" w:hAnsi="Times New Roman" w:eastAsia="仿宋_GB2312" w:cs="Times New Roman"/>
          <w:sz w:val="32"/>
          <w:szCs w:val="32"/>
          <w:lang w:val="en-US" w:eastAsia="zh-CN"/>
        </w:rPr>
        <w:t>等工作</w:t>
      </w:r>
      <w:r>
        <w:rPr>
          <w:rFonts w:hint="eastAsia" w:ascii="仿宋_GB2312" w:hAnsi="仿宋_GB2312" w:eastAsia="仿宋_GB2312" w:cs="仿宋_GB2312"/>
          <w:color w:val="000000"/>
          <w:kern w:val="2"/>
          <w:sz w:val="32"/>
          <w:szCs w:val="32"/>
          <w:shd w:val="clear" w:color="auto" w:fill="FFFFFF"/>
          <w:lang w:val="en-US" w:eastAsia="zh-CN" w:bidi="ar-SA"/>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2024年度本部门无政府性基金安排的支出，所以公开的附件15-17表（政府性基金预算）为空。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keepNext w:val="0"/>
        <w:keepLines w:val="0"/>
        <w:pageBreakBefore w:val="0"/>
        <w:widowControl/>
        <w:kinsoku/>
        <w:wordWrap/>
        <w:overflowPunct/>
        <w:topLinePunct w:val="0"/>
        <w:autoSpaceDE/>
        <w:autoSpaceDN/>
        <w:bidi w:val="0"/>
        <w:adjustRightInd/>
        <w:snapToGrid/>
        <w:spacing w:line="600" w:lineRule="exact"/>
        <w:ind w:firstLine="660"/>
        <w:jc w:val="left"/>
        <w:textAlignment w:val="auto"/>
        <w:rPr>
          <w:rFonts w:eastAsia="仿宋_GB2312"/>
          <w:sz w:val="32"/>
          <w:szCs w:val="32"/>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w:t>
      </w:r>
      <w:r>
        <w:rPr>
          <w:rFonts w:hint="eastAsia" w:ascii="Times New Roman" w:hAnsi="Times New Roman" w:eastAsia="仿宋_GB2312" w:cs="Times New Roman"/>
          <w:sz w:val="32"/>
          <w:szCs w:val="32"/>
          <w:lang w:val="en-US" w:eastAsia="zh-CN"/>
        </w:rPr>
        <w:t>中共岳阳市君山区委党史研究室</w:t>
      </w:r>
      <w:r>
        <w:rPr>
          <w:rFonts w:hint="eastAsia" w:ascii="仿宋_GB2312" w:hAnsi="仿宋_GB2312" w:eastAsia="仿宋_GB2312" w:cs="仿宋_GB2312"/>
          <w:color w:val="000000"/>
          <w:kern w:val="2"/>
          <w:sz w:val="32"/>
          <w:szCs w:val="32"/>
          <w:shd w:val="clear" w:color="auto" w:fill="FFFFFF"/>
          <w:lang w:val="en-US" w:eastAsia="zh-CN" w:bidi="ar-SA"/>
        </w:rPr>
        <w:t>部门机关运行经费15.82万元</w:t>
      </w:r>
      <w:r>
        <w:rPr>
          <w:rFonts w:eastAsia="仿宋_GB2312"/>
          <w:sz w:val="32"/>
          <w:szCs w:val="32"/>
        </w:rPr>
        <w:t>，比上年预算增加</w:t>
      </w:r>
      <w:r>
        <w:rPr>
          <w:rFonts w:hint="eastAsia" w:eastAsia="仿宋_GB2312"/>
          <w:sz w:val="32"/>
          <w:szCs w:val="32"/>
          <w:lang w:val="en-US" w:eastAsia="zh-CN"/>
        </w:rPr>
        <w:t>4.54</w:t>
      </w:r>
      <w:r>
        <w:rPr>
          <w:rFonts w:eastAsia="仿宋_GB2312"/>
          <w:sz w:val="32"/>
          <w:szCs w:val="32"/>
        </w:rPr>
        <w:t>万元，上升</w:t>
      </w:r>
      <w:r>
        <w:rPr>
          <w:rFonts w:hint="eastAsia" w:eastAsia="仿宋_GB2312"/>
          <w:sz w:val="32"/>
          <w:szCs w:val="32"/>
          <w:lang w:val="en-US" w:eastAsia="zh-CN"/>
        </w:rPr>
        <w:t>40.25</w:t>
      </w:r>
      <w:r>
        <w:rPr>
          <w:rFonts w:eastAsia="仿宋_GB2312"/>
          <w:sz w:val="32"/>
          <w:szCs w:val="32"/>
        </w:rPr>
        <w:t>%，主要是</w:t>
      </w:r>
      <w:r>
        <w:rPr>
          <w:rFonts w:hint="eastAsia" w:eastAsia="仿宋_GB2312"/>
          <w:sz w:val="32"/>
          <w:szCs w:val="32"/>
          <w:lang w:eastAsia="zh-CN"/>
        </w:rPr>
        <w:t>增加了</w:t>
      </w:r>
      <w:r>
        <w:rPr>
          <w:rFonts w:hint="eastAsia" w:eastAsia="仿宋_GB2312"/>
          <w:sz w:val="32"/>
          <w:szCs w:val="32"/>
          <w:lang w:val="en-US" w:eastAsia="zh-CN"/>
        </w:rPr>
        <w:t>工作人员导致公用经费增加</w:t>
      </w:r>
      <w:r>
        <w:rPr>
          <w:rFonts w:eastAsia="仿宋_GB2312"/>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eastAsia="仿宋_GB2312" w:asciiTheme="minorHAnsi" w:hAnsiTheme="minorHAnsi" w:cstheme="minorBidi"/>
          <w:kern w:val="2"/>
          <w:sz w:val="32"/>
          <w:szCs w:val="32"/>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eastAsia="仿宋_GB2312" w:asciiTheme="minorHAnsi" w:hAnsiTheme="minorHAnsi" w:cstheme="minorBidi"/>
          <w:kern w:val="2"/>
          <w:sz w:val="32"/>
          <w:szCs w:val="32"/>
          <w:lang w:val="en-US" w:eastAsia="zh-CN" w:bidi="ar-SA"/>
        </w:rPr>
        <w:t>2024年本部门“三公”经费预算数为0.53万元，其中，公务接待费0.53万元，公务用车购置及运行费0万元（其中，公务用车购置费0万元，公务用车运行费0万元），因公出国（境）费0万元。2024年“三公”经费预算较2023年减少0.19万元，主要原因是严格落实中央“八项规定”精神和“过紧日子”的要求，从严控制“三公”经费支出。</w:t>
      </w:r>
      <w:bookmarkStart w:id="1" w:name="END_IS_ZERO_06_1"/>
      <w:bookmarkEnd w:id="1"/>
      <w:bookmarkStart w:id="2" w:name="END_IS_ZERO_06_2"/>
      <w:bookmarkEnd w:id="2"/>
      <w:bookmarkStart w:id="3" w:name="DIS_MARK_IS_ZERO_06_2"/>
      <w:bookmarkEnd w:id="3"/>
      <w:bookmarkStart w:id="4" w:name="START_IS_ZERO_06_2"/>
      <w:bookmarkEnd w:id="4"/>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eastAsia="仿宋_GB2312" w:asciiTheme="minorHAnsi" w:hAnsiTheme="minorHAnsi" w:cstheme="minorBidi"/>
          <w:kern w:val="2"/>
          <w:sz w:val="32"/>
          <w:szCs w:val="32"/>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eastAsia="仿宋_GB2312" w:asciiTheme="minorHAnsi" w:hAnsiTheme="minorHAnsi" w:cstheme="minorBidi"/>
          <w:kern w:val="2"/>
          <w:sz w:val="32"/>
          <w:szCs w:val="32"/>
          <w:lang w:val="en-US" w:eastAsia="zh-CN" w:bidi="ar-SA"/>
        </w:rPr>
        <w:t>2024年本部门会议费预算0万元，拟召开0次会议，人数0人；培训费预算0万元，拟开展0次培训，人数0人；2024年度本部门未计划举办节庆、晚会、论坛、赛事活动</w:t>
      </w:r>
      <w:r>
        <w:rPr>
          <w:rFonts w:hint="eastAsia" w:eastAsia="仿宋_GB2312" w:cstheme="minorBidi"/>
          <w:kern w:val="2"/>
          <w:sz w:val="32"/>
          <w:szCs w:val="32"/>
          <w:lang w:val="en-US" w:eastAsia="zh-CN" w:bidi="ar-SA"/>
        </w:rPr>
        <w:t>，经费预算0万元</w:t>
      </w:r>
      <w:bookmarkStart w:id="5" w:name="_GoBack"/>
      <w:bookmarkEnd w:id="5"/>
      <w:r>
        <w:rPr>
          <w:rFonts w:hint="eastAsia" w:eastAsia="仿宋_GB2312" w:asciiTheme="minorHAnsi" w:hAnsiTheme="minorHAnsi" w:cstheme="minorBidi"/>
          <w:kern w:val="2"/>
          <w:sz w:val="32"/>
          <w:szCs w:val="32"/>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（四）政府采购情况：</w:t>
      </w:r>
      <w:r>
        <w:rPr>
          <w:rFonts w:hint="eastAsia" w:ascii="仿宋_GB2312" w:hAnsi="仿宋_GB2312" w:eastAsia="仿宋_GB2312" w:cs="仿宋_GB2312"/>
          <w:color w:val="000000"/>
          <w:kern w:val="2"/>
          <w:sz w:val="32"/>
          <w:szCs w:val="32"/>
          <w:shd w:val="clear" w:color="auto" w:fill="FFFFFF"/>
          <w:lang w:val="en-US" w:eastAsia="zh-CN" w:bidi="ar-SA"/>
        </w:rPr>
        <w:t>2024年本部门政府采购预算总额78万元，其中，货物类采购预算50万元；工程类采购预算0万元；服务类采购预算28万元。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部门共有公务用车0辆，其中，机要通信用车0辆，应急保障用车0辆，执法执勤用车0辆，特种专业技术用车0辆，其他按照规定配备的公务用车0辆；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0辆，其中，机要通信用车0辆，应急保障用车0辆，执法执勤用车0辆，特种专业技术用车0辆，其他按照规定配备的公务用车0辆；新增配备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（六）预算绩效目标说明：</w:t>
      </w:r>
      <w:r>
        <w:rPr>
          <w:rFonts w:hint="eastAsia" w:ascii="仿宋_GB2312" w:hAnsi="仿宋_GB2312" w:eastAsia="仿宋_GB2312" w:cs="仿宋_GB2312"/>
          <w:color w:val="000000"/>
          <w:kern w:val="2"/>
          <w:sz w:val="32"/>
          <w:szCs w:val="32"/>
          <w:shd w:val="clear" w:color="auto" w:fill="FFFFFF"/>
          <w:lang w:val="en-US" w:eastAsia="zh-CN" w:bidi="ar-SA"/>
        </w:rPr>
        <w:t>本部门所有支出实行绩效目标管理。纳入2024年部门整体支出绩效目标的金额为211.39万元，其中，基本支出133.39万元，项目支出78万元，具体绩效目标详见文尾附表中部门预算公开表格的表21-22。</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附件：中共岳阳市君山区委党史研究室2024年部门预算公开表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038EA"/>
    <w:multiLevelType w:val="singleLevel"/>
    <w:tmpl w:val="51103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YzRiMTYxZDMzMTQyMDNkMWFhNjUyY2VhYTE4YTUifQ=="/>
  </w:docVars>
  <w:rsids>
    <w:rsidRoot w:val="637274E6"/>
    <w:rsid w:val="00857C69"/>
    <w:rsid w:val="00DB558B"/>
    <w:rsid w:val="019401C3"/>
    <w:rsid w:val="01A43482"/>
    <w:rsid w:val="02412BCB"/>
    <w:rsid w:val="02FA7BB8"/>
    <w:rsid w:val="033C0E47"/>
    <w:rsid w:val="03631DE8"/>
    <w:rsid w:val="05DE428D"/>
    <w:rsid w:val="05ED25F6"/>
    <w:rsid w:val="079242AE"/>
    <w:rsid w:val="085D0C84"/>
    <w:rsid w:val="0992531D"/>
    <w:rsid w:val="0A0D382D"/>
    <w:rsid w:val="0D2835D5"/>
    <w:rsid w:val="0ED939EE"/>
    <w:rsid w:val="13385187"/>
    <w:rsid w:val="144178C3"/>
    <w:rsid w:val="14C13BA3"/>
    <w:rsid w:val="167C1082"/>
    <w:rsid w:val="168E55F8"/>
    <w:rsid w:val="16B94831"/>
    <w:rsid w:val="18844C6D"/>
    <w:rsid w:val="194A2BB1"/>
    <w:rsid w:val="1C744CBF"/>
    <w:rsid w:val="1CD25B13"/>
    <w:rsid w:val="1D6E31FC"/>
    <w:rsid w:val="1D85581C"/>
    <w:rsid w:val="1FD800E8"/>
    <w:rsid w:val="200307FA"/>
    <w:rsid w:val="20A420AE"/>
    <w:rsid w:val="22DF4F83"/>
    <w:rsid w:val="230C7214"/>
    <w:rsid w:val="24302B07"/>
    <w:rsid w:val="243D1BD3"/>
    <w:rsid w:val="256B3D61"/>
    <w:rsid w:val="264178B0"/>
    <w:rsid w:val="26962633"/>
    <w:rsid w:val="26E130FE"/>
    <w:rsid w:val="29C372D4"/>
    <w:rsid w:val="29EC6874"/>
    <w:rsid w:val="2A351017"/>
    <w:rsid w:val="2D6329A9"/>
    <w:rsid w:val="2D72315C"/>
    <w:rsid w:val="2DA53533"/>
    <w:rsid w:val="2ECE656C"/>
    <w:rsid w:val="305B1762"/>
    <w:rsid w:val="305C2E10"/>
    <w:rsid w:val="3085088F"/>
    <w:rsid w:val="31A800DF"/>
    <w:rsid w:val="324A2389"/>
    <w:rsid w:val="32865768"/>
    <w:rsid w:val="328F1D91"/>
    <w:rsid w:val="32C66482"/>
    <w:rsid w:val="34521626"/>
    <w:rsid w:val="35683252"/>
    <w:rsid w:val="36BE748E"/>
    <w:rsid w:val="36CB7059"/>
    <w:rsid w:val="38E3475C"/>
    <w:rsid w:val="38F310C3"/>
    <w:rsid w:val="3951638D"/>
    <w:rsid w:val="3A242018"/>
    <w:rsid w:val="415154E1"/>
    <w:rsid w:val="43666CD0"/>
    <w:rsid w:val="472973EE"/>
    <w:rsid w:val="477C3FDA"/>
    <w:rsid w:val="47E411CF"/>
    <w:rsid w:val="490966A2"/>
    <w:rsid w:val="496F41C2"/>
    <w:rsid w:val="4AD36F68"/>
    <w:rsid w:val="4B5D43D7"/>
    <w:rsid w:val="4BC03402"/>
    <w:rsid w:val="4DBF1A26"/>
    <w:rsid w:val="4EC2028E"/>
    <w:rsid w:val="4EE728E7"/>
    <w:rsid w:val="50447689"/>
    <w:rsid w:val="51B004D2"/>
    <w:rsid w:val="52A91D7A"/>
    <w:rsid w:val="54A70CC5"/>
    <w:rsid w:val="56301712"/>
    <w:rsid w:val="5681523A"/>
    <w:rsid w:val="576A0C54"/>
    <w:rsid w:val="5A1535D7"/>
    <w:rsid w:val="5A380B96"/>
    <w:rsid w:val="5D7F32CE"/>
    <w:rsid w:val="5ED74E21"/>
    <w:rsid w:val="5F3F29C6"/>
    <w:rsid w:val="60884CBD"/>
    <w:rsid w:val="60B230E1"/>
    <w:rsid w:val="636D1293"/>
    <w:rsid w:val="637274E6"/>
    <w:rsid w:val="63894210"/>
    <w:rsid w:val="63942027"/>
    <w:rsid w:val="662F72F1"/>
    <w:rsid w:val="66B263EF"/>
    <w:rsid w:val="69175946"/>
    <w:rsid w:val="69F86FD8"/>
    <w:rsid w:val="6B49147A"/>
    <w:rsid w:val="6C0749A4"/>
    <w:rsid w:val="6C1B6290"/>
    <w:rsid w:val="6C5E2742"/>
    <w:rsid w:val="6CB542C8"/>
    <w:rsid w:val="6CC62031"/>
    <w:rsid w:val="6DDB7D5E"/>
    <w:rsid w:val="706E1C24"/>
    <w:rsid w:val="7076663E"/>
    <w:rsid w:val="70AE175A"/>
    <w:rsid w:val="70F92319"/>
    <w:rsid w:val="728C4B01"/>
    <w:rsid w:val="729A1F96"/>
    <w:rsid w:val="739C7F8F"/>
    <w:rsid w:val="73BE1EBD"/>
    <w:rsid w:val="74232EF6"/>
    <w:rsid w:val="748B04A5"/>
    <w:rsid w:val="74D47E83"/>
    <w:rsid w:val="753F0C2D"/>
    <w:rsid w:val="7608190C"/>
    <w:rsid w:val="779553F4"/>
    <w:rsid w:val="77DE623F"/>
    <w:rsid w:val="78CC0C1A"/>
    <w:rsid w:val="791A5BDE"/>
    <w:rsid w:val="7C136915"/>
    <w:rsid w:val="7C5C1E71"/>
    <w:rsid w:val="7C9338B5"/>
    <w:rsid w:val="7DDA1DE0"/>
    <w:rsid w:val="7EBE525E"/>
    <w:rsid w:val="7F6D60FB"/>
    <w:rsid w:val="7F78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Documents\WeChat%20Files\wxid_8uktj8qci1hc22\FileStorage\File\2024-05\&#25910;&#20837;&#39044;&#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Documents\WeChat%20Files\wxid_8uktj8qci1hc22\FileStorage\File\2024-05\&#25910;&#20837;&#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收入预算图</a:t>
            </a:r>
          </a:p>
        </c:rich>
      </c:tx>
      <c:layout/>
      <c:overlay val="0"/>
      <c:spPr>
        <a:noFill/>
        <a:ln>
          <a:noFill/>
        </a:ln>
        <a:effectLst/>
      </c:spPr>
    </c:title>
    <c:autoTitleDeleted val="0"/>
    <c:view3D>
      <c:rotX val="25"/>
      <c:rotY val="0"/>
      <c:depthPercent val="100"/>
      <c:rAngAx val="0"/>
      <c:perspective val="20"/>
    </c:view3D>
    <c:floor>
      <c:thickness val="0"/>
    </c:floor>
    <c:sideWall>
      <c:thickness val="0"/>
    </c:sideWall>
    <c:backWall>
      <c:thickness val="0"/>
    </c:backWall>
    <c:plotArea>
      <c:layout/>
      <c:pie3DChart>
        <c:varyColors val="1"/>
        <c:ser>
          <c:idx val="0"/>
          <c:order val="0"/>
          <c:spPr>
            <a:ln w="15875" cmpd="sng">
              <a:solidFill>
                <a:schemeClr val="bg1"/>
              </a:solidFill>
              <a:prstDash val="solid"/>
            </a:ln>
            <a:effectLst/>
            <a:scene3d>
              <a:camera prst="orthographicFront"/>
              <a:lightRig rig="threePt" dir="t"/>
            </a:scene3d>
            <a:sp3d contourW="15875" prstMaterial="flat"/>
          </c:spPr>
          <c:explosion val="0"/>
          <c:dPt>
            <c:idx val="0"/>
            <c:bubble3D val="0"/>
            <c:spPr>
              <a:gradFill>
                <a:gsLst>
                  <a:gs pos="0">
                    <a:schemeClr val="accent1">
                      <a:lumMod val="60000"/>
                      <a:lumOff val="40000"/>
                    </a:schemeClr>
                  </a:gs>
                  <a:gs pos="70000">
                    <a:schemeClr val="accent1"/>
                  </a:gs>
                </a:gsLst>
                <a:lin ang="13500000" scaled="0"/>
              </a:gradFill>
              <a:ln w="15875" cmpd="sng">
                <a:solidFill>
                  <a:schemeClr val="accent1">
                    <a:lumMod val="75000"/>
                  </a:schemeClr>
                </a:solidFill>
                <a:prstDash val="solid"/>
              </a:ln>
              <a:effectLst/>
              <a:scene3d>
                <a:camera prst="orthographicFront"/>
                <a:lightRig rig="threePt" dir="t"/>
              </a:scene3d>
              <a:sp3d contourW="15875" prstMaterial="fla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[收入预算图.xlsx]Sheet1!$B$31:$B$32</c15:sqref>
                  </c15:fullRef>
                </c:ext>
              </c:extLst>
              <c:f>[收入预算图.xlsx]Sheet1!$B$31</c:f>
              <c:strCache>
                <c:ptCount val="1"/>
                <c:pt idx="0">
                  <c:v>一般公共预算拨款收入</c:v>
                </c:pt>
              </c:strCache>
            </c:strRef>
          </c:cat>
          <c:val>
            <c:numRef>
              <c:extLst>
                <c:ext xmlns:c15="http://schemas.microsoft.com/office/drawing/2012/chart" uri="{02D57815-91ED-43cb-92C2-25804820EDAC}">
                  <c15:fullRef>
                    <c15:sqref>Sheet1!$C$31:$C$32</c15:sqref>
                  </c15:fullRef>
                </c:ext>
              </c:extLst>
              <c:f>[收入预算图.xlsx]Sheet1!$C$31</c:f>
              <c:numCache>
                <c:formatCode>0%</c:formatCode>
                <c:ptCount val="1"/>
                <c:pt idx="0">
                  <c:v>1</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Pt>
            <c:idx val="3"/>
            <c:bubble3D val="0"/>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dPt>
          <c:dLbls>
            <c:dLbl>
              <c:idx val="0"/>
              <c:layout>
                <c:manualLayout>
                  <c:x val="-0.0383328262853666"/>
                  <c:y val="-0.0292583069094597"/>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679612745329732"/>
                  <c:y val="-0.037399556058478"/>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30597809552784"/>
                  <c:y val="-0.0692934782608696"/>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40660118818549"/>
                  <c:y val="0.0108389392220462"/>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[收入预算图.xlsx]Sheet1!$B$2:$B$5</c:f>
              <c:strCache>
                <c:ptCount val="4"/>
                <c:pt idx="0">
                  <c:v>社会保障和就业支出</c:v>
                </c:pt>
                <c:pt idx="1">
                  <c:v>卫生健康支出</c:v>
                </c:pt>
                <c:pt idx="2">
                  <c:v>一般公共服务支出</c:v>
                </c:pt>
                <c:pt idx="3">
                  <c:v>住房保障支出</c:v>
                </c:pt>
              </c:strCache>
            </c:strRef>
          </c:cat>
          <c:val>
            <c:numRef>
              <c:f>[收入预算图.xlsx]Sheet1!$C$2:$C$5</c:f>
              <c:numCache>
                <c:formatCode>0.00%</c:formatCode>
                <c:ptCount val="4"/>
                <c:pt idx="0">
                  <c:v>0.0875</c:v>
                </c:pt>
                <c:pt idx="1">
                  <c:v>0.0293</c:v>
                </c:pt>
                <c:pt idx="2">
                  <c:v>0.8361</c:v>
                </c:pt>
                <c:pt idx="3">
                  <c:v>0.0471</c:v>
                </c:pt>
              </c:numCache>
            </c:numRef>
          </c:val>
        </c:ser>
        <c:dLbls>
          <c:showLegendKey val="0"/>
          <c:showVal val="0"/>
          <c:showCatName val="1"/>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0C0E1F"/>
    </a:dk2>
    <a:lt2>
      <a:srgbClr val="FEFFFF"/>
    </a:lt2>
    <a:accent1>
      <a:srgbClr val="54C9FA"/>
    </a:accent1>
    <a:accent2>
      <a:srgbClr val="6C92FD"/>
    </a:accent2>
    <a:accent3>
      <a:srgbClr val="FF731F"/>
    </a:accent3>
    <a:accent4>
      <a:srgbClr val="16CC8A"/>
    </a:accent4>
    <a:accent5>
      <a:srgbClr val="FFC619"/>
    </a:accent5>
    <a:accent6>
      <a:srgbClr val="4E37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12</Pages>
  <Words>3546</Words>
  <Characters>3818</Characters>
  <Lines>0</Lines>
  <Paragraphs>0</Paragraphs>
  <TotalTime>5</TotalTime>
  <ScaleCrop>false</ScaleCrop>
  <LinksUpToDate>false</LinksUpToDate>
  <CharactersWithSpaces>3825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dell</cp:lastModifiedBy>
  <dcterms:modified xsi:type="dcterms:W3CDTF">2024-06-09T08:21:40Z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7995028802C145C19FB50941B1096085_13</vt:lpwstr>
  </property>
</Properties>
</file>