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2" w:beforeLines="50" w:after="162" w:afterLines="50" w:line="580" w:lineRule="exact"/>
        <w:jc w:val="left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附件5</w:t>
      </w:r>
    </w:p>
    <w:p>
      <w:pPr>
        <w:spacing w:before="162" w:beforeLines="50" w:after="162" w:afterLines="50" w:line="580" w:lineRule="exac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  <w:lang w:val="en-US" w:eastAsia="zh-CN" w:bidi="ar-SA"/>
        </w:rPr>
        <w:t>岳阳市君山区民办非企业单位等级评估指标</w:t>
      </w:r>
    </w:p>
    <w:tbl>
      <w:tblPr>
        <w:tblStyle w:val="2"/>
        <w:tblW w:w="90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C7EDCC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  <w:tblHeader/>
        </w:trPr>
        <w:tc>
          <w:tcPr>
            <w:tcW w:w="108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一级指标</w:t>
            </w: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二级指标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三级指标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四级指标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</w:pPr>
            <w:r>
              <w:rPr>
                <w:rFonts w:ascii="Times New Roman" w:hAnsi="Times New Roman" w:eastAsia="宋体" w:cs="Times New Roman"/>
                <w:b/>
                <w:kern w:val="0"/>
                <w:szCs w:val="21"/>
                <w:lang w:val="en-US" w:eastAsia="zh-CN" w:bidi="ar"/>
              </w:rPr>
              <w:t>分值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基础条件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（60分）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法人资格 (25分)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法定代表人（5分）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产生程序符合规定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活动资金（7分）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年末净资产不低于开办资金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有独立的银行账户且账户正常使用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名称使用（5分）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名称牌匾对外悬挂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名称使用规范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住所（8分）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有独立办公用房且办公环境良好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主要办事机构所在地与住所一致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办公设备设施齐全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登记管理(35分)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章程（7分）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章程制定（修改）表决程序符合规定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章程修订后履行核准程序（备案）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登记和备案(13分)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登记事项变更履行变更登记程序情况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理事、行政负责人、监事备案情况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印章、内设机构及银行账户备案情况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年度检查（10分）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年检结论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遵守法律法规情况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spacing w:val="-6"/>
                <w:kern w:val="0"/>
                <w:szCs w:val="21"/>
                <w:lang w:val="en-US" w:eastAsia="zh-CN" w:bidi="ar"/>
              </w:rPr>
              <w:t>遵守社会组织管理政策情况（是否违规开展评比达标表彰、设立分支机构等）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党建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情况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党建入章程情况和党建工作开展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宋体" w:hAnsi="宋体" w:eastAsia="宋体" w:cs="宋体"/>
                <w:b w:val="0"/>
                <w:bCs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（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75</w:t>
            </w:r>
            <w:r>
              <w:rPr>
                <w:rFonts w:hint="default" w:ascii="宋体" w:hAnsi="宋体" w:eastAsia="宋体" w:cs="宋体"/>
                <w:b w:val="0"/>
                <w:bCs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党的建设入章程</w:t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和建立情况</w:t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10</w:t>
            </w: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坚持党的全面领导、社会主义核心价值观载入章程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党组织建立情况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党建工作开展情况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（65分）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组织生活制度落实情况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组织党员开展活动情况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档案管理情况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党员管理情况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党支部书记参与理事会情况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党组织发挥作用情况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党建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情况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阵地建设和经费保障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阵地建设（15分）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有党建阵地建设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党建经费（10分）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有党建经费列支制度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每年对党建活动有专项资金列支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内部治理（360分）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组织机构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（55分）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理事会（32分）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理事产生（罢免）符合规定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理事会人数符合规定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与本单位无经济利益关系人士担任理事情况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按时换届情况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召开次数符合章程规定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理事会履行职权情况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会议纪要制作规范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监事或监事会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（14分）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按要求设立了监事或监事会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监事列席理事会情况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监事发挥作用情况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办事机构（9分）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制定了内部管理制度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设置、运转正常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履行职责，发挥作用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人力资源(60分)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人事管理（26分）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劳动合同签订及薪酬管理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岗位职责及绩效考核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社会保险和住房公积金缴纳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行政负责人（16分）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产生方式和程序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行业影响力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履职情况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行政负责人专职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工作人员（18分）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专职工作人员数量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学历情况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组织或参加社会组织政策法规、业务培训情况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8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专业化水平和工作状态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内部治理（360分）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档案印章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(20分)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档案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档案管理制度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档案保管情况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证章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证章管理制度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印章使用登记及登记证书悬挂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(225分)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highlight w:val="red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合法运营（30分）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经费来源和资金使用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highlight w:val="red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资金列入符合规定的单位账簿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资产</w:t>
            </w:r>
            <w:r>
              <w:rPr>
                <w:rFonts w:hint="default" w:ascii="宋体" w:hAnsi="宋体" w:eastAsia="宋体" w:cs="宋体"/>
                <w:bCs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规模（20分）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总资产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tcBorders>
              <w:bottom w:val="single" w:color="auto" w:sz="4" w:space="0"/>
            </w:tcBorders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tcBorders>
              <w:bottom w:val="single" w:color="auto" w:sz="4" w:space="0"/>
            </w:tcBorders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业务收入</w:t>
            </w:r>
          </w:p>
        </w:tc>
        <w:tc>
          <w:tcPr>
            <w:tcW w:w="743" w:type="dxa"/>
            <w:tcBorders>
              <w:bottom w:val="single" w:color="auto" w:sz="4" w:space="0"/>
            </w:tcBorders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合法使用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（50分）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（慈善组织）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公益事业支出比例符合规定（慈善组织）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管理费用支出比例符合规定（慈善组织）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Times New Roman" w:hAnsi="Times New Roman" w:eastAsia="宋体" w:cs="Times New Roman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ascii="Times New Roman" w:hAnsi="Times New Roman" w:eastAsia="宋体" w:cs="Times New Roman"/>
                <w:bCs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财务人员管理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会计人员配备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会计人员岗位职责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会计人员职称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会计人员变动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会计核算管理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（43分）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核算流程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账务处理执行《民间非营利组织会计制度》情况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会计电算化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会计档案管理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项目收支管理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（32分）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项目财务管理制度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合同、协议管理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项目支出审批程序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项目资金管理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项目支出管理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货币资金和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实物资产管理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货币资金管理制度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货币资金使用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内部治理（360分）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财务资产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(225分)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货币资金和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实物资产管理</w:t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（25分）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实物资产管理制度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实物资产使用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投资管理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（20分）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投资管理制度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投资管理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投资收益情况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税收和票据管理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（20分）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办理税务登记情况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按时足额交税情况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捐赠、税务票据管理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财务报告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财务报告制度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财务报告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财务监督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监督制度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监事监督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财务报表审计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换届、离任审计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捐赠人监督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工作绩效(380分)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（项目）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（80分）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发展规划和工作计划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发展规划制定及实施情况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工作计划制定及实施情况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业务（项目）实施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（40分）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业务（项目）符合单位宗旨和业务范围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业务（项目）管理制度及风险防控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业务（项目）工作计划完成情况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业务（项目）监督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业务（项目）监督考核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业务（项目）总结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业务（项目）评估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提供业务服务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（170分）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专业性（30分）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服务定位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具有匹配的专业及技术能力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服务过程中的资源保障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工作绩效(380分)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提供业务服务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（170分）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效果与影响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（45分）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良性经营和服务行为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服务的独特性和创新性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服务的外部延伸社会效果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行业或项目影响力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交流与合作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服务政府、社会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（45分）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参与制定法律法规政策及建言献策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接受政府委托项目或购买服务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国际国内交流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在重大突发事件中发挥作用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社会责任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(50分)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社会责任和亮点、业务创新工作（例如：推进安全生产、脱贫攻坚、节能减排、抗疫防疫以及指标未涵盖或亮点工作、创新工作业绩十分突出）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诚信建设（110分）</w:t>
            </w: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信息公开管理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（40分）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信息公开制度及管理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设立新闻发言人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信息公开渠道多样性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网站或平台建设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信息公开内容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（35分）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单位基本信息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收费项目和标准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业务活动信息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财务审计报告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年度工作报告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捐赠信息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服务承诺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(35分)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服务承诺制度</w:t>
            </w:r>
            <w:r>
              <w:rPr>
                <w:rFonts w:hint="default" w:ascii="宋体" w:hAnsi="宋体" w:eastAsia="宋体" w:cs="宋体"/>
                <w:b w:val="0"/>
                <w:bCs/>
                <w:color w:val="auto"/>
                <w:kern w:val="2"/>
                <w:sz w:val="21"/>
                <w:szCs w:val="21"/>
                <w:u w:val="none"/>
                <w:lang w:val="en-US" w:eastAsia="zh-CN" w:bidi="ar"/>
              </w:rPr>
              <w:t>及落实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承诺服务内容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承诺服务方式及结果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服务满意度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2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投诉反馈机制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工作绩效(380分)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社会宣传（20分）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宣传推广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刊物、网站或新媒体宣传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媒体报道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各级新闻媒体报道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社会评价</w:t>
            </w:r>
          </w:p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（100分）</w:t>
            </w: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内部评价（25分）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理事评价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(10分)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对单位财务管理、创新能力、班子履职、民主决策和提供服务能力的评价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监事评价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（7分）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对单位非营利性、财务管理、班子履职、民主决策、能力建设和规范化管理的评价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工作人员评价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（8分）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对单位财务管理、创新能力、班子履职、民主决策和提供服务能力的评价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公众评价（15分）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服务对象评价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（15分）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对单位服务态度、服务质量、信息公开和诚信建设的评价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restart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管理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部门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（60分）</w:t>
            </w: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登记管理机关评价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（30分）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对单位非营利性、财务管理、信息公开、服务政府、服务社会、规范化建设、自律与诚信建设的评价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业务主管单位评价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（20分）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对单位领导班子、财务管理、信息公开、服务政府、服务社会、规范化建设、自律与诚信建设的评价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C7EDCC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0" w:hRule="atLeast"/>
        </w:trPr>
        <w:tc>
          <w:tcPr>
            <w:tcW w:w="1083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935" w:type="dxa"/>
            <w:vMerge w:val="continue"/>
            <w:shd w:val="clear" w:color="auto" w:fill="C7EDCC"/>
            <w:vAlign w:val="center"/>
          </w:tcPr>
          <w:p>
            <w:pPr>
              <w:spacing w:line="260" w:lineRule="exact"/>
              <w:jc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</w:p>
        </w:tc>
        <w:tc>
          <w:tcPr>
            <w:tcW w:w="1922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0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获得表彰奖励情况</w:t>
            </w:r>
          </w:p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（10分）</w:t>
            </w:r>
          </w:p>
        </w:tc>
        <w:tc>
          <w:tcPr>
            <w:tcW w:w="4388" w:type="dxa"/>
            <w:shd w:val="clear" w:color="auto" w:fill="C7EDCC"/>
            <w:vAlign w:val="center"/>
          </w:tcPr>
          <w:p>
            <w:pPr>
              <w:spacing w:line="260" w:lineRule="exact"/>
              <w:jc w:val="left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政府部门的表彰奖励</w:t>
            </w:r>
          </w:p>
        </w:tc>
        <w:tc>
          <w:tcPr>
            <w:tcW w:w="743" w:type="dxa"/>
            <w:shd w:val="clear" w:color="auto" w:fill="C7EDCC"/>
            <w:vAlign w:val="center"/>
          </w:tcPr>
          <w:p>
            <w:pPr>
              <w:spacing w:line="260" w:lineRule="exact"/>
              <w:jc w:val="center"/>
              <w:textAlignment w:val="center"/>
              <w:rPr>
                <w:rFonts w:ascii="宋体" w:hAnsi="宋体" w:eastAsia="宋体" w:cs="宋体"/>
                <w:bCs/>
                <w:kern w:val="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kern w:val="0"/>
                <w:szCs w:val="21"/>
                <w:lang w:val="en-US" w:eastAsia="zh-CN" w:bidi="ar"/>
              </w:rPr>
              <w:t>10</w:t>
            </w:r>
          </w:p>
        </w:tc>
      </w:tr>
    </w:tbl>
    <w:p>
      <w:pPr>
        <w:spacing w:line="240" w:lineRule="exact"/>
        <w:rPr>
          <w:rFonts w:ascii="Calibri" w:hAnsi="Calibri" w:eastAsia="宋体" w:cs="Times New Roman"/>
          <w:kern w:val="2"/>
          <w:sz w:val="18"/>
          <w:szCs w:val="18"/>
          <w:lang w:val="en-US" w:eastAsia="zh-CN" w:bidi="ar-SA"/>
        </w:rPr>
      </w:pPr>
    </w:p>
    <w:p>
      <w:pPr>
        <w:rPr>
          <w:rFonts w:ascii="Calibri" w:hAnsi="Calibri" w:eastAsia="宋体" w:cs="Times New Roman"/>
          <w:kern w:val="2"/>
          <w:szCs w:val="24"/>
          <w:lang w:val="en-US" w:eastAsia="zh-CN" w:bidi="ar-SA"/>
        </w:rPr>
      </w:pPr>
    </w:p>
    <w:p>
      <w:pPr>
        <w:rPr>
          <w:rFonts w:hint="eastAsia" w:ascii="Calibri" w:hAnsi="Calibri" w:eastAsia="宋体" w:cs="Times New Roman"/>
          <w:kern w:val="2"/>
          <w:szCs w:val="24"/>
          <w:lang w:val="en-US" w:eastAsia="zh-CN" w:bidi="ar-SA"/>
        </w:rPr>
      </w:pPr>
    </w:p>
    <w:p/>
    <w:p/>
    <w:p/>
    <w:p/>
    <w:p>
      <w:bookmarkStart w:id="0" w:name="_GoBack"/>
      <w:bookmarkEnd w:id="0"/>
    </w:p>
    <w:sectPr>
      <w:footerReference r:id="rId3" w:type="default"/>
      <w:pgSz w:w="11840" w:h="16840"/>
      <w:pgMar w:top="1440" w:right="1500" w:bottom="1440" w:left="1400" w:header="0" w:footer="120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E854CBB0-F7F9-44AF-8CAF-CF8EB197610E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19A9695B-9DE6-427E-AE58-6F0D14F939D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420" w:lineRule="exact"/>
      <w:jc w:val="both"/>
      <w:rPr>
        <w:rFonts w:ascii="Calibri" w:hAnsi="Calibri" w:eastAsia="宋体" w:cs="Times New Roman"/>
        <w:kern w:val="0"/>
        <w:szCs w:val="22"/>
      </w:rPr>
    </w:pPr>
    <w:r>
      <w:rPr>
        <w:rFonts w:ascii="Calibri" w:hAnsi="Calibri" w:eastAsia="宋体" w:cs="Times New Roman"/>
        <w:kern w:val="0"/>
        <w:sz w:val="21"/>
        <w:szCs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widowControl w:val="0"/>
                            <w:tabs>
                              <w:tab w:val="center" w:pos="4153"/>
                              <w:tab w:val="right" w:pos="8306"/>
                            </w:tabs>
                            <w:snapToGrid w:val="0"/>
                            <w:jc w:val="left"/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</w:pP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t>1</w:t>
                          </w:r>
                          <w:r>
                            <w:rPr>
                              <w:rFonts w:ascii="Calibri" w:hAnsi="Calibri" w:eastAsia="宋体" w:cs="Times New Roman"/>
                              <w:sz w:val="18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tabs>
                        <w:tab w:val="center" w:pos="4153"/>
                        <w:tab w:val="right" w:pos="8306"/>
                      </w:tabs>
                      <w:snapToGrid w:val="0"/>
                      <w:jc w:val="left"/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</w:pP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begin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instrText xml:space="preserve"> PAGE  \* MERGEFORMAT </w:instrTex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separate"/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t>1</w:t>
                    </w:r>
                    <w:r>
                      <w:rPr>
                        <w:rFonts w:ascii="Calibri" w:hAnsi="Calibri" w:eastAsia="宋体" w:cs="Times New Roman"/>
                        <w:sz w:val="18"/>
                        <w:szCs w:val="2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JmZjhmN2EwMTA5ODYwYTA2ZTE1MTU2OTJkMjVmYTYifQ=="/>
  </w:docVars>
  <w:rsids>
    <w:rsidRoot w:val="4F371D15"/>
    <w:rsid w:val="4F371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2023-08-24T07:22:00Z</dcterms:created>
  <dc:creator>情系河山</dc:creator>
  <cp:lastModifiedBy>情系河山</cp:lastModifiedBy>
  <dcterms:modified xsi:type="dcterms:W3CDTF">2023-08-24T07:23:57Z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FE4706EE0AD94B48868F1777540D49D9_11</vt:lpwstr>
  </property>
</Properties>
</file>