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hint="eastAsia" w:eastAsia="方正小标宋简体"/>
          <w:bCs/>
          <w:sz w:val="46"/>
          <w:szCs w:val="46"/>
        </w:rPr>
      </w:pP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eastAsia="方正小标宋简体"/>
          <w:bCs/>
          <w:sz w:val="46"/>
          <w:szCs w:val="46"/>
        </w:rPr>
      </w:pPr>
      <w:r>
        <w:rPr>
          <w:rFonts w:hint="eastAsia" w:eastAsia="方正小标宋简体"/>
          <w:bCs/>
          <w:sz w:val="46"/>
          <w:szCs w:val="46"/>
        </w:rPr>
        <w:t>君山区20</w:t>
      </w:r>
      <w:r>
        <w:rPr>
          <w:rFonts w:hint="eastAsia" w:eastAsia="方正小标宋简体"/>
          <w:bCs/>
          <w:sz w:val="46"/>
          <w:szCs w:val="46"/>
          <w:lang w:val="en-US" w:eastAsia="zh-CN"/>
        </w:rPr>
        <w:t>21</w:t>
      </w:r>
      <w:r>
        <w:rPr>
          <w:rFonts w:hint="eastAsia" w:eastAsia="方正小标宋简体"/>
          <w:bCs/>
          <w:sz w:val="46"/>
          <w:szCs w:val="46"/>
        </w:rPr>
        <w:t>年度部门（单位）整体支出</w:t>
      </w:r>
    </w:p>
    <w:p>
      <w:pPr>
        <w:keepNext w:val="0"/>
        <w:keepLines w:val="0"/>
        <w:pageBreakBefore w:val="0"/>
        <w:widowControl w:val="0"/>
        <w:kinsoku/>
        <w:wordWrap/>
        <w:overflowPunct/>
        <w:topLinePunct w:val="0"/>
        <w:autoSpaceDE/>
        <w:autoSpaceDN/>
        <w:bidi w:val="0"/>
        <w:adjustRightInd/>
        <w:snapToGrid/>
        <w:spacing w:line="640" w:lineRule="exact"/>
        <w:jc w:val="center"/>
        <w:textAlignment w:val="auto"/>
        <w:rPr>
          <w:rFonts w:eastAsia="方正小标宋简体"/>
          <w:bCs/>
          <w:sz w:val="46"/>
          <w:szCs w:val="46"/>
        </w:rPr>
      </w:pPr>
      <w:r>
        <w:rPr>
          <w:rFonts w:hint="eastAsia" w:eastAsia="方正小标宋简体"/>
          <w:bCs/>
          <w:sz w:val="46"/>
          <w:szCs w:val="46"/>
        </w:rPr>
        <w:t>绩效评价自评报告</w:t>
      </w:r>
    </w:p>
    <w:p>
      <w:pPr>
        <w:rPr>
          <w:rFonts w:eastAsia="仿宋_GB2312"/>
          <w:b/>
          <w:sz w:val="32"/>
        </w:rPr>
      </w:pPr>
    </w:p>
    <w:p>
      <w:pPr>
        <w:spacing w:before="156" w:beforeLines="50" w:line="348" w:lineRule="auto"/>
        <w:ind w:firstLine="476" w:firstLineChars="150"/>
        <w:rPr>
          <w:rFonts w:hint="eastAsia" w:eastAsia="仿宋_GB2312"/>
          <w:sz w:val="32"/>
          <w:szCs w:val="32"/>
          <w:u w:val="single"/>
          <w:lang w:eastAsia="zh-CN"/>
        </w:rPr>
      </w:pPr>
      <w:r>
        <w:rPr>
          <w:rFonts w:hint="eastAsia" w:eastAsia="仿宋_GB2312"/>
          <w:sz w:val="32"/>
          <w:szCs w:val="32"/>
        </w:rPr>
        <w:t>部门(单位)名称：</w:t>
      </w:r>
      <w:r>
        <w:rPr>
          <w:rFonts w:hint="eastAsia" w:eastAsia="仿宋_GB2312"/>
          <w:sz w:val="32"/>
          <w:szCs w:val="32"/>
          <w:lang w:eastAsia="zh-CN"/>
        </w:rPr>
        <w:t>岳阳市君山产业开发区管理委员会</w:t>
      </w:r>
    </w:p>
    <w:p>
      <w:pPr>
        <w:spacing w:before="156" w:beforeLines="50" w:line="348" w:lineRule="auto"/>
        <w:ind w:firstLine="476" w:firstLineChars="150"/>
        <w:rPr>
          <w:rFonts w:hint="default" w:eastAsia="仿宋_GB2312"/>
          <w:spacing w:val="20"/>
          <w:sz w:val="32"/>
          <w:szCs w:val="32"/>
          <w:lang w:val="en-US" w:eastAsia="zh-CN"/>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30"/>
          <w:sz w:val="32"/>
          <w:szCs w:val="32"/>
          <w:lang w:val="en-US" w:eastAsia="zh-CN"/>
        </w:rPr>
        <w:t>150001</w:t>
      </w:r>
    </w:p>
    <w:p>
      <w:pPr>
        <w:spacing w:before="156" w:beforeLines="50" w:line="348" w:lineRule="auto"/>
        <w:ind w:firstLine="476" w:firstLineChars="150"/>
        <w:rPr>
          <w:rFonts w:eastAsia="仿宋_GB2312"/>
          <w:sz w:val="32"/>
          <w:szCs w:val="32"/>
        </w:rPr>
      </w:pPr>
      <w:r>
        <w:rPr>
          <w:rFonts w:hint="eastAsia" w:eastAsia="仿宋_GB2312"/>
          <w:sz w:val="32"/>
          <w:szCs w:val="32"/>
        </w:rPr>
        <w:t>评价方式：部门（单位）绩效自评</w:t>
      </w:r>
    </w:p>
    <w:p>
      <w:pPr>
        <w:spacing w:before="156" w:beforeLines="50" w:line="348" w:lineRule="auto"/>
        <w:ind w:firstLine="476" w:firstLineChars="150"/>
        <w:rPr>
          <w:rFonts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eastAsia="仿宋_GB2312"/>
          <w:sz w:val="32"/>
        </w:rPr>
      </w:pPr>
    </w:p>
    <w:p>
      <w:pPr>
        <w:spacing w:line="348" w:lineRule="auto"/>
        <w:jc w:val="center"/>
        <w:rPr>
          <w:rFonts w:eastAsia="仿宋_GB2312"/>
          <w:sz w:val="32"/>
        </w:rPr>
      </w:pPr>
      <w:r>
        <w:rPr>
          <w:rFonts w:hint="eastAsia" w:eastAsia="仿宋_GB2312"/>
          <w:sz w:val="32"/>
        </w:rPr>
        <w:t>报告日期：</w:t>
      </w:r>
      <w:r>
        <w:rPr>
          <w:rFonts w:hint="eastAsia" w:eastAsia="仿宋_GB2312"/>
          <w:sz w:val="32"/>
          <w:lang w:val="en-US" w:eastAsia="zh-CN"/>
        </w:rPr>
        <w:t>2022</w:t>
      </w:r>
      <w:r>
        <w:rPr>
          <w:rFonts w:hint="eastAsia" w:eastAsia="仿宋_GB2312"/>
          <w:sz w:val="32"/>
        </w:rPr>
        <w:t>年</w:t>
      </w:r>
      <w:r>
        <w:rPr>
          <w:rFonts w:hint="eastAsia" w:eastAsia="仿宋_GB2312"/>
          <w:sz w:val="32"/>
          <w:lang w:val="en-US" w:eastAsia="zh-CN"/>
        </w:rPr>
        <w:t>08</w:t>
      </w:r>
      <w:r>
        <w:rPr>
          <w:rFonts w:hint="eastAsia" w:eastAsia="仿宋_GB2312"/>
          <w:sz w:val="32"/>
        </w:rPr>
        <w:t>月</w:t>
      </w:r>
      <w:r>
        <w:rPr>
          <w:rFonts w:hint="eastAsia" w:eastAsia="仿宋_GB2312"/>
          <w:sz w:val="32"/>
          <w:lang w:val="en-US" w:eastAsia="zh-CN"/>
        </w:rPr>
        <w:t>04</w:t>
      </w:r>
      <w:r>
        <w:rPr>
          <w:rFonts w:hint="eastAsia" w:eastAsia="仿宋_GB2312"/>
          <w:sz w:val="32"/>
        </w:rPr>
        <w:t>日</w:t>
      </w:r>
    </w:p>
    <w:p>
      <w:pPr>
        <w:autoSpaceDN w:val="0"/>
        <w:jc w:val="center"/>
        <w:textAlignment w:val="center"/>
        <w:rPr>
          <w:rFonts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君山区财政</w:t>
      </w:r>
      <w:r>
        <w:rPr>
          <w:rFonts w:hint="eastAsia" w:eastAsia="仿宋_GB2312"/>
          <w:sz w:val="32"/>
          <w:szCs w:val="32"/>
        </w:rPr>
        <w:t>局（制）</w:t>
      </w:r>
    </w:p>
    <w:tbl>
      <w:tblPr>
        <w:tblStyle w:val="3"/>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705"/>
        <w:gridCol w:w="196"/>
        <w:gridCol w:w="259"/>
        <w:gridCol w:w="482"/>
        <w:gridCol w:w="598"/>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张诗饴</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1943"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8170502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19</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1943" w:type="dxa"/>
            <w:gridSpan w:val="5"/>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0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君山区工业园主要承担园区招商、项目建设、经济运行、企业的安全生产和环保等有关管理职责。（1）贯彻执行国家有关对工业园区开发的方针、政策，落实省、市、区有关对工业园区开发的文件精神，并结合实际拟订具体的实施和管理办法。（2）根据区城市总体规划和园区产业发展，负责编制并组织实施工业园区总体发展规划以及控制性详细规划。（3）负责优化工业园区投资环境，开展和落实全区的招商引资工作。（4）负责园区融资工作和归口管理君山区工业园投资开发有限公司。（5）负责工业园区基础设施建设，协调企业的各种行政性审批事项，根据投资项目的规划、定点和施工，负责企业用地的放样和企业厂房规划与设计的审核。（6）负责工业园区精神文明建设，协助有关部门做好企业用工和社会劳动保障等工作。（7）负责工业园区经济运行及有关涉外事物，协调和沟通工业园区企业间、企业与各方面之间的关系。（8）协助工业园区企业搞好安全生产、环境保护、绿化美化亮化、计划生育和综合治理等工作。（9）承办区委、区人民政府交办的其他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464"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年度主要</w:t>
            </w:r>
          </w:p>
          <w:p>
            <w:pPr>
              <w:autoSpaceDN w:val="0"/>
              <w:spacing w:line="320" w:lineRule="exact"/>
              <w:jc w:val="center"/>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工作内容</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1）园区主要经济指标方面：力争到2021年底园区技工贸总收入突破230亿元，同比增长15%以上；完成规模工业增加值50亿元，同比增长10%以上；完成固定资产投资总量突破25.3亿元，同比增长15%以上；税收总额突破1.3亿元大关。</w:t>
            </w:r>
          </w:p>
          <w:p>
            <w:pPr>
              <w:autoSpaceDN w:val="0"/>
              <w:spacing w:line="320" w:lineRule="exact"/>
              <w:jc w:val="left"/>
              <w:textAlignment w:val="center"/>
              <w:rPr>
                <w:rFonts w:hint="default" w:ascii="仿宋_GB2312" w:hAnsi="仿宋_GB2312" w:eastAsia="仿宋_GB2312" w:cs="仿宋_GB2312"/>
                <w:color w:val="000000"/>
                <w:sz w:val="24"/>
                <w:highlight w:val="none"/>
                <w:lang w:val="en-US" w:eastAsia="zh-CN"/>
              </w:rPr>
            </w:pPr>
            <w:r>
              <w:rPr>
                <w:rFonts w:hint="eastAsia" w:ascii="仿宋_GB2312" w:hAnsi="仿宋_GB2312" w:eastAsia="仿宋_GB2312" w:cs="仿宋_GB2312"/>
                <w:color w:val="000000"/>
                <w:sz w:val="24"/>
                <w:highlight w:val="none"/>
                <w:lang w:val="en-US" w:eastAsia="zh-CN"/>
              </w:rPr>
              <w:t>（2）招商引资方面。全年力争引进亿元项目6个以上、5亿元项目1个以上，完成招商引资总额25亿元以上的目标。（3）项目服务方面。提质主导产业，围绕食品加工产业，加大建链、强链、补链、延链力度；推进科技创新，强化企业创新主体地位，鼓励金联星特种新材料、庆胜新能源等企业加大研发投入；继续实施企业联点制度、两不见面改革、一件事一次办、审批一站式服务，推行区域评估制度。（4）规划建设方面：道路交通方面：加快推进杨树路建设。主导产业方面：李记食品、鲜味滋食品、福众医保、劲阳电子、湘北区域配送中心、东方国鸿等项目建成运营，加快推进鸿光机械、罗斯包装、金联星新厂区等项目建设。</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260"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pacing w:val="-6"/>
                <w:sz w:val="24"/>
                <w:highlight w:val="none"/>
              </w:rPr>
            </w:pPr>
            <w:r>
              <w:rPr>
                <w:rFonts w:hint="eastAsia" w:ascii="仿宋_GB2312" w:hAnsi="仿宋_GB2312" w:eastAsia="仿宋_GB2312" w:cs="仿宋_GB2312"/>
                <w:color w:val="000000"/>
                <w:spacing w:val="-6"/>
                <w:sz w:val="24"/>
                <w:highlight w:val="none"/>
              </w:rPr>
              <w:t>年度部门（单位）总体运行情况及取得的成绩</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1.园区主要经济指标方面：2021年，园区完成技工贸总收入约238.79亿元，同比增长26.58%；完成规模工业增加值约54.65亿元，同比增长28.26%；完成固定资产投资总量约42.47亿元，同比增长15.61%；年缴税收18868.01万元，同比增长69.38%。2.招商引资方面：1-12月，引进招商项目17个，合同引资额27.53亿元。3.项目服务方面：一是坚持代办制度，深入实施企业联点、手续代办等制度，所有入园项目明确服务专班，安排专人结对帮扶，并实行一线工作法，现场解决企业在投产、生产、经营等方面遇到的问题。二是设立服务窗口，积极承接赋权审批事项，已在区政务中心设立企业手续办理绿色通道窗口，并安排2人驻点办公服务。三是落实惠企政策，制订了《惠企政策宣传册》，从六个板块34个方面系统总结了优惠政策和申报条件，为国泰食品、大农米业、广恒照明等6家企业争取奖补资金200多万元。四是高质量完成省评任务，积极参加优化营商环境“省评”、“国评”，满意率达100%，收到省、市一致好评。</w:t>
            </w:r>
          </w:p>
          <w:p>
            <w:pPr>
              <w:autoSpaceDN w:val="0"/>
              <w:spacing w:line="320" w:lineRule="exact"/>
              <w:jc w:val="left"/>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4.规划建设方面：在园区配套上，完成了丁家路、白杨路等7条道路的项目建设；启动了杨树路、建业北路项目建设及富岗路（二期）、岳华西路的项目前期工作。完成了昌泰明渠（一期）主体工程、企业配电四期项目、周转房配套项目、格码配套项目、北片区蒸汽管网建设等生产配套，启动了昌泰君建明渠二期项目前期工作和企业配电五期项目建设。园区食堂、750套公租房等配套正式投入使用。在项目建设上，多家企业通过追加投资和技术改造的方式，在园区进行“二次创业”，其中新宏、宝辰、天乐已签订扩产租赁合同；正源食品、洞庭苇田实现“腾笼换鸟”；三利和、新宏食品等多家企业均增加了300至1000万不等的创新投入；劲阳电子、鸿光机械、南博装配、罗斯包装集体入驻电子包装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014" w:hRule="atLeast"/>
          <w:jc w:val="center"/>
        </w:trPr>
        <w:tc>
          <w:tcPr>
            <w:tcW w:w="1700" w:type="dxa"/>
            <w:gridSpan w:val="3"/>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72" w:hRule="atLeast"/>
          <w:jc w:val="center"/>
        </w:trPr>
        <w:tc>
          <w:tcPr>
            <w:tcW w:w="170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5494.62</w:t>
            </w:r>
          </w:p>
        </w:tc>
        <w:tc>
          <w:tcPr>
            <w:tcW w:w="1355" w:type="dxa"/>
            <w:gridSpan w:val="2"/>
            <w:tcBorders>
              <w:lef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524.51</w:t>
            </w: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4970.1</w:t>
            </w:r>
          </w:p>
        </w:tc>
        <w:tc>
          <w:tcPr>
            <w:tcW w:w="1705" w:type="dxa"/>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c>
          <w:tcPr>
            <w:tcW w:w="180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700" w:type="dxa"/>
            <w:gridSpan w:val="3"/>
            <w:noWrap w:val="0"/>
            <w:vAlign w:val="center"/>
          </w:tcPr>
          <w:p>
            <w:pPr>
              <w:spacing w:line="320" w:lineRule="exac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5494.62</w:t>
            </w:r>
          </w:p>
        </w:tc>
        <w:tc>
          <w:tcPr>
            <w:tcW w:w="1355" w:type="dxa"/>
            <w:gridSpan w:val="2"/>
            <w:tcBorders>
              <w:lef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524.51</w:t>
            </w: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4970.1</w:t>
            </w:r>
          </w:p>
        </w:tc>
        <w:tc>
          <w:tcPr>
            <w:tcW w:w="1705" w:type="dxa"/>
            <w:noWrap w:val="0"/>
            <w:vAlign w:val="center"/>
          </w:tcPr>
          <w:p>
            <w:pPr>
              <w:autoSpaceDN w:val="0"/>
              <w:spacing w:line="320" w:lineRule="exact"/>
              <w:jc w:val="left"/>
              <w:textAlignment w:val="center"/>
              <w:rPr>
                <w:rFonts w:ascii="仿宋_GB2312" w:hAnsi="仿宋_GB2312" w:eastAsia="仿宋_GB2312" w:cs="仿宋_GB2312"/>
                <w:color w:val="000000"/>
                <w:kern w:val="2"/>
                <w:sz w:val="24"/>
                <w:szCs w:val="24"/>
                <w:lang w:val="en-US" w:eastAsia="zh-CN"/>
              </w:rPr>
            </w:pPr>
          </w:p>
        </w:tc>
        <w:tc>
          <w:tcPr>
            <w:tcW w:w="180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napToGrid w:val="0"/>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5"/>
            <w:tcBorders>
              <w:top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gridSpan w:val="2"/>
            <w:vMerge w:val="restart"/>
            <w:tcBorders>
              <w:top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gridSpan w:val="2"/>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77"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5184.23</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193.15</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173.89</w:t>
            </w:r>
          </w:p>
        </w:tc>
        <w:tc>
          <w:tcPr>
            <w:tcW w:w="216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19.26</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4991.08</w:t>
            </w: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310.39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color w:val="000000"/>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5184.23</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193.15</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173.89</w:t>
            </w:r>
          </w:p>
        </w:tc>
        <w:tc>
          <w:tcPr>
            <w:tcW w:w="2160" w:type="dxa"/>
            <w:gridSpan w:val="3"/>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19.26</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4991.08</w:t>
            </w:r>
          </w:p>
        </w:tc>
        <w:tc>
          <w:tcPr>
            <w:tcW w:w="720" w:type="dxa"/>
            <w:gridSpan w:val="3"/>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kern w:val="2"/>
                <w:sz w:val="24"/>
                <w:szCs w:val="24"/>
                <w:lang w:val="en-US" w:eastAsia="zh-CN"/>
              </w:rPr>
            </w:pPr>
          </w:p>
        </w:tc>
        <w:tc>
          <w:tcPr>
            <w:tcW w:w="625" w:type="dxa"/>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310.39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8"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25.6</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24.6</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w:t>
            </w:r>
          </w:p>
        </w:tc>
        <w:tc>
          <w:tcPr>
            <w:tcW w:w="216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25.6</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24.6</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1</w:t>
            </w:r>
          </w:p>
        </w:tc>
        <w:tc>
          <w:tcPr>
            <w:tcW w:w="2160"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25"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restart"/>
            <w:noWrap w:val="0"/>
            <w:vAlign w:val="center"/>
          </w:tcPr>
          <w:p>
            <w:pPr>
              <w:spacing w:line="320" w:lineRule="exact"/>
              <w:jc w:val="center"/>
              <w:rPr>
                <w:rFonts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55"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color w:val="000000"/>
                <w:sz w:val="24"/>
              </w:rPr>
              <w:t>局机关及二级机构汇总</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511.04</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511.04</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noWrap w:val="0"/>
            <w:vAlign w:val="center"/>
          </w:tcPr>
          <w:p>
            <w:pPr>
              <w:spacing w:line="320" w:lineRule="exact"/>
              <w:jc w:val="left"/>
              <w:rPr>
                <w:rFonts w:ascii="仿宋_GB2312" w:hAnsi="仿宋_GB2312" w:eastAsia="仿宋_GB2312" w:cs="仿宋_GB2312"/>
                <w:sz w:val="24"/>
              </w:rPr>
            </w:pPr>
            <w:r>
              <w:rPr>
                <w:rFonts w:hint="eastAsia" w:ascii="仿宋_GB2312" w:hAnsi="仿宋_GB2312" w:eastAsia="仿宋_GB2312" w:cs="仿宋_GB2312"/>
                <w:sz w:val="24"/>
              </w:rPr>
              <w:t>1、局机关</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511.04</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kern w:val="2"/>
                <w:sz w:val="24"/>
                <w:szCs w:val="24"/>
                <w:lang w:val="en-US" w:eastAsia="zh-CN"/>
              </w:rPr>
            </w:pPr>
            <w:r>
              <w:rPr>
                <w:rFonts w:hint="eastAsia" w:ascii="仿宋_GB2312" w:hAnsi="仿宋_GB2312" w:eastAsia="仿宋_GB2312" w:cs="仿宋_GB2312"/>
                <w:color w:val="000000"/>
                <w:sz w:val="24"/>
                <w:lang w:val="en-US" w:eastAsia="zh-CN"/>
              </w:rPr>
              <w:t>511.04</w:t>
            </w:r>
          </w:p>
        </w:tc>
        <w:tc>
          <w:tcPr>
            <w:tcW w:w="364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941"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3774" w:type="dxa"/>
            <w:gridSpan w:val="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园区主要经济指标方面：力争到2021年底园区技工贸总收入突破230亿元，同比增长15%以上；完成规模工业增加值50亿元，同比增长10%以上；完成固定资产投资总量突破25.3亿元，同比增长15%以上；税收总额突破1.3亿元大关。</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2）招商引资方面。全年力争引进亿元项目6个以上、5亿元项目1个以上，完成招商引资总额25亿元以上的目标。（3）项目服务方面。提质主导产业，围绕食品加工产业，加大建链、强链、补链、延链力度；推进科技创新，强化企业创新主体地位，鼓励金联星特种新材料、庆胜新能源等企业加大研发投入；继续实施企业联点制度、两不见面改革、一件事一次办、审批一站式服务，推行区域评估制度。（4）规划建设方面：道路交通方面：加快推进杨树路建设。主导产业方面：李记食品、鲜味滋食品、福众医保、劲阳电子、湘北区域配送中心、东方国鸿等项目建成运营，加快推进鸿光机械、罗斯包装、金联星新厂区等项目建设。</w:t>
            </w:r>
          </w:p>
        </w:tc>
        <w:tc>
          <w:tcPr>
            <w:tcW w:w="4585" w:type="dxa"/>
            <w:gridSpan w:val="9"/>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highlight w:val="none"/>
              </w:rPr>
              <w:t>1.园区主要经济指标方面：2021年，园区完成技工贸总收入约238.79亿元，同比增长26.58%；完成规模工业增加值约54.65亿元，同比增长28.26%；完成固定资产投资总量约42.47亿元，同比增长15.61%；年缴税收18868.01万元，同比增长69.38%。2.招商引资方面：1-12月，引进招商项目17个，合同引资额27.53亿元。3.项目服务方面：一是坚持代办制度，深入实施企业联点、手续代办等制度，所有入园项目明确服务专班，安排专人结对帮扶，并实行一线工作法，现场解决企业在投产、生产、经营等方面遇到的问题。二是设立服务窗口，积极承接赋权审批事项，已在区政务中心设立企业手续办理绿色通道窗口，并安排2人驻点办公服务。三是落实惠企政策，制订了《惠企政策宣传册》，从六个板块34个方面系统总结了优惠政策和申报条件，为国泰食品、大农米业、广恒照明等6家企业争取奖补资金200多万元。四是高质量完成省评任务，积极参加优化营商环境“省评”、“国评”，满意率达100%，收到省、市一致好评。4.规划建设方面：在园区配套上，完成了丁家路、白杨路等7条道路的项目建设；启动了杨树路、建业北路项目建设及富岗路（二期）、岳华西路的项目前期工作。完成了昌泰明渠（一期）主体工程、企业配电四期项目、周转房配套项目、格码配套项目、北片区蒸汽管网建设等生产配套，启动了昌泰君建明渠二期项目前期工作和企业配电五期项目建设。园区食堂、750套公租房等配套正式投入使用。在项目建设上，多家企业通过追加投资和技术改造的方式，在园区进行“二次创业”，其中新宏、宝辰、天乐已签订扩产租赁合同；正源食品、洞庭苇田实现“腾笼换鸟”；三利和、新宏食品等多家企业均增加了300至1000万不等的创新投入；劲阳电子、鸿光机械、南博装配、罗斯包装集体入驻电子包装园</w:t>
            </w:r>
            <w:r>
              <w:rPr>
                <w:rFonts w:hint="eastAsia" w:ascii="仿宋_GB2312" w:hAnsi="仿宋_GB2312" w:eastAsia="仿宋_GB2312" w:cs="仿宋_GB2312"/>
                <w:color w:val="000000"/>
                <w:sz w:val="24"/>
                <w:highlight w:val="none"/>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3"/>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（部门工作实绩，包含上级部门和市委市政府布置的重点工作、实事任务等，根据部门实际进行调整细化）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加大招商引资力度</w:t>
            </w:r>
          </w:p>
        </w:tc>
        <w:tc>
          <w:tcPr>
            <w:tcW w:w="2684"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spacing w:line="320" w:lineRule="exact"/>
              <w:rPr>
                <w:rFonts w:ascii="仿宋_GB2312" w:hAnsi="仿宋_GB2312" w:eastAsia="仿宋_GB2312" w:cs="仿宋_GB2312"/>
                <w:sz w:val="24"/>
              </w:rPr>
            </w:pPr>
          </w:p>
        </w:tc>
        <w:tc>
          <w:tcPr>
            <w:tcW w:w="2709"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加快基础设施建设</w:t>
            </w:r>
          </w:p>
        </w:tc>
        <w:tc>
          <w:tcPr>
            <w:tcW w:w="2684" w:type="dxa"/>
            <w:gridSpan w:val="7"/>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lang w:val="en-US" w:eastAsia="zh-CN"/>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指标1：技工贸总收入突破230亿元</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指标2：完成规模工业增加值50亿元</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：完成固定资产投资总量突破25.3亿元</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sz w:val="24"/>
              </w:rPr>
            </w:pPr>
          </w:p>
        </w:tc>
        <w:tc>
          <w:tcPr>
            <w:tcW w:w="2709"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：税收总额突破1.3亿元大关</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招商引资任务</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val="en-US" w:eastAsia="zh-CN"/>
              </w:rPr>
              <w:t>项目服务方面，提高服务质量和办证效率</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eastAsia="zh-CN"/>
              </w:rPr>
              <w:t>支出控制在财政预算内</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保障资金</w:t>
            </w:r>
            <w:r>
              <w:rPr>
                <w:rFonts w:hint="eastAsia" w:ascii="仿宋_GB2312" w:hAnsi="仿宋_GB2312" w:eastAsia="仿宋_GB2312" w:cs="仿宋_GB2312"/>
                <w:color w:val="000000"/>
                <w:sz w:val="24"/>
                <w:lang w:val="en-US" w:eastAsia="zh-CN"/>
              </w:rPr>
              <w:t>合理</w:t>
            </w:r>
            <w:r>
              <w:rPr>
                <w:rFonts w:hint="eastAsia" w:ascii="仿宋_GB2312" w:hAnsi="仿宋_GB2312" w:eastAsia="仿宋_GB2312" w:cs="仿宋_GB2312"/>
                <w:color w:val="000000"/>
                <w:sz w:val="24"/>
                <w:lang w:eastAsia="zh-CN"/>
              </w:rPr>
              <w:t>使用，不产生其他成本</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3"/>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带动当地就业</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让企业有归属感</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促进区内对外、对内经济发展；</w:t>
            </w: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2</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提高企业税收，创造经济效益。</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rPr>
            </w:pPr>
            <w:r>
              <w:rPr>
                <w:rFonts w:hint="eastAsia" w:ascii="仿宋_GB2312" w:hAnsi="仿宋_GB2312" w:eastAsia="仿宋_GB2312" w:cs="仿宋_GB2312"/>
                <w:color w:val="000000"/>
                <w:sz w:val="24"/>
              </w:rPr>
              <w:t>指标1：</w:t>
            </w:r>
            <w:r>
              <w:rPr>
                <w:rFonts w:hint="eastAsia" w:ascii="仿宋_GB2312" w:hAnsi="仿宋_GB2312" w:eastAsia="仿宋_GB2312" w:cs="仿宋_GB2312"/>
                <w:color w:val="000000"/>
                <w:sz w:val="24"/>
                <w:lang w:val="en-US" w:eastAsia="zh-CN"/>
              </w:rPr>
              <w:t>提高环保工作质量</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指标2：清理园区建筑生活垃圾，创造</w:t>
            </w:r>
            <w:r>
              <w:rPr>
                <w:rFonts w:hint="eastAsia" w:ascii="仿宋_GB2312" w:hAnsi="仿宋_GB2312" w:eastAsia="仿宋_GB2312" w:cs="仿宋_GB2312"/>
                <w:color w:val="000000"/>
                <w:sz w:val="24"/>
                <w:lang w:val="en-US" w:eastAsia="zh-CN"/>
              </w:rPr>
              <w:t>优质</w:t>
            </w:r>
            <w:r>
              <w:rPr>
                <w:rFonts w:hint="eastAsia" w:ascii="仿宋_GB2312" w:hAnsi="仿宋_GB2312" w:eastAsia="仿宋_GB2312" w:cs="仿宋_GB2312"/>
                <w:color w:val="000000"/>
                <w:sz w:val="24"/>
              </w:rPr>
              <w:t>生产环境。</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3"/>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指标</w:t>
            </w:r>
            <w:r>
              <w:rPr>
                <w:rFonts w:ascii="仿宋_GB2312" w:hAnsi="仿宋_GB2312" w:eastAsia="仿宋_GB2312" w:cs="仿宋_GB2312"/>
                <w:color w:val="000000"/>
                <w:sz w:val="24"/>
              </w:rPr>
              <w:t>1</w:t>
            </w:r>
            <w:r>
              <w:rPr>
                <w:rFonts w:hint="eastAsia" w:ascii="仿宋_GB2312" w:hAnsi="仿宋_GB2312" w:eastAsia="仿宋_GB2312" w:cs="仿宋_GB2312"/>
                <w:color w:val="000000"/>
                <w:sz w:val="24"/>
              </w:rPr>
              <w:t>：</w:t>
            </w:r>
            <w:r>
              <w:rPr>
                <w:rFonts w:hint="eastAsia" w:ascii="仿宋_GB2312" w:hAnsi="仿宋_GB2312" w:eastAsia="仿宋_GB2312" w:cs="仿宋_GB2312"/>
                <w:color w:val="000000"/>
                <w:sz w:val="24"/>
                <w:lang w:eastAsia="zh-CN"/>
              </w:rPr>
              <w:t>提高企业对园区服务工作、物业工作的满意度</w:t>
            </w:r>
          </w:p>
        </w:tc>
        <w:tc>
          <w:tcPr>
            <w:tcW w:w="2684" w:type="dxa"/>
            <w:gridSpan w:val="7"/>
            <w:noWrap w:val="0"/>
            <w:vAlign w:val="center"/>
          </w:tcPr>
          <w:p>
            <w:pPr>
              <w:autoSpaceDN w:val="0"/>
              <w:spacing w:line="320" w:lineRule="exact"/>
              <w:jc w:val="center"/>
              <w:textAlignment w:val="center"/>
              <w:rPr>
                <w:rFonts w:ascii="仿宋_GB2312" w:hAnsi="仿宋_GB2312" w:eastAsia="仿宋_GB2312" w:cs="仿宋_GB2312"/>
                <w:b/>
                <w:color w:val="000000"/>
                <w:sz w:val="24"/>
              </w:rPr>
            </w:pPr>
            <w:r>
              <w:rPr>
                <w:rFonts w:hint="eastAsia" w:ascii="仿宋_GB2312" w:hAnsi="仿宋_GB2312" w:eastAsia="仿宋_GB2312" w:cs="仿宋_GB2312"/>
                <w:b/>
                <w:color w:val="000000"/>
                <w:sz w:val="24"/>
                <w:lang w:val="en-US" w:eastAsia="zh-CN"/>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96分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rPr>
              <w:t>职务/职称</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方学龙</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工委书记</w:t>
            </w:r>
          </w:p>
        </w:tc>
        <w:tc>
          <w:tcPr>
            <w:tcW w:w="2642"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芦建文</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管委会主任</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赖</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宇</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工委副书记、管委会副主任</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王</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亮</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工委委员、纪工委书记</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唐忠亮</w:t>
            </w:r>
          </w:p>
        </w:tc>
        <w:tc>
          <w:tcPr>
            <w:tcW w:w="3561" w:type="dxa"/>
            <w:gridSpan w:val="6"/>
            <w:noWrap w:val="0"/>
            <w:vAlign w:val="center"/>
          </w:tcPr>
          <w:p>
            <w:pPr>
              <w:autoSpaceDN w:val="0"/>
              <w:spacing w:line="320" w:lineRule="exact"/>
              <w:jc w:val="center"/>
              <w:textAlignment w:val="center"/>
              <w:rPr>
                <w:rFonts w:ascii="仿宋_GB2312" w:hAnsi="仿宋_GB2312" w:eastAsia="仿宋_GB2312" w:cs="仿宋_GB2312"/>
                <w:color w:val="000000"/>
                <w:sz w:val="24"/>
                <w:highlight w:val="none"/>
              </w:rPr>
            </w:pPr>
            <w:r>
              <w:rPr>
                <w:rFonts w:hint="eastAsia" w:ascii="仿宋_GB2312" w:hAnsi="仿宋_GB2312" w:eastAsia="仿宋_GB2312" w:cs="仿宋_GB2312"/>
                <w:color w:val="000000"/>
                <w:sz w:val="24"/>
                <w:highlight w:val="none"/>
                <w:lang w:eastAsia="zh-CN"/>
              </w:rPr>
              <w:t>工委委员、管委会副主任</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吴淳杰</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办公室主任</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袁</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凯</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工程部部长</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张诗饴</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财务部部长</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lang w:eastAsia="zh-CN"/>
              </w:rPr>
              <w:t>王</w:t>
            </w:r>
            <w:r>
              <w:rPr>
                <w:rFonts w:hint="eastAsia" w:ascii="仿宋_GB2312" w:hAnsi="仿宋_GB2312" w:eastAsia="仿宋_GB2312" w:cs="仿宋_GB2312"/>
                <w:color w:val="000000"/>
                <w:sz w:val="24"/>
                <w:lang w:val="en-US" w:eastAsia="zh-CN"/>
              </w:rPr>
              <w:t xml:space="preserve">  </w:t>
            </w:r>
            <w:r>
              <w:rPr>
                <w:rFonts w:hint="eastAsia" w:ascii="仿宋_GB2312" w:hAnsi="仿宋_GB2312" w:eastAsia="仿宋_GB2312" w:cs="仿宋_GB2312"/>
                <w:color w:val="000000"/>
                <w:sz w:val="24"/>
                <w:lang w:eastAsia="zh-CN"/>
              </w:rPr>
              <w:t>兰</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highlight w:val="none"/>
                <w:lang w:eastAsia="zh-CN"/>
              </w:rPr>
            </w:pPr>
            <w:r>
              <w:rPr>
                <w:rFonts w:hint="eastAsia" w:ascii="仿宋_GB2312" w:hAnsi="仿宋_GB2312" w:eastAsia="仿宋_GB2312" w:cs="仿宋_GB2312"/>
                <w:color w:val="000000"/>
                <w:sz w:val="24"/>
                <w:highlight w:val="none"/>
                <w:lang w:eastAsia="zh-CN"/>
              </w:rPr>
              <w:t>招商部部长</w:t>
            </w:r>
          </w:p>
        </w:tc>
        <w:tc>
          <w:tcPr>
            <w:tcW w:w="2642" w:type="dxa"/>
            <w:gridSpan w:val="4"/>
            <w:noWrap w:val="0"/>
            <w:vAlign w:val="center"/>
          </w:tcPr>
          <w:p>
            <w:pPr>
              <w:autoSpaceDN w:val="0"/>
              <w:spacing w:line="320" w:lineRule="exact"/>
              <w:jc w:val="center"/>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lang w:eastAsia="zh-CN"/>
              </w:rPr>
              <w:t>君山产业开发区管委会</w:t>
            </w:r>
          </w:p>
        </w:tc>
        <w:tc>
          <w:tcPr>
            <w:tcW w:w="1943" w:type="dxa"/>
            <w:gridSpan w:val="5"/>
            <w:noWrap w:val="0"/>
            <w:vAlign w:val="center"/>
          </w:tcPr>
          <w:p>
            <w:pPr>
              <w:autoSpaceDN w:val="0"/>
              <w:spacing w:line="320" w:lineRule="exact"/>
              <w:jc w:val="center"/>
              <w:textAlignment w:val="center"/>
              <w:rPr>
                <w:rFonts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979"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741" w:hRule="atLeast"/>
          <w:jc w:val="center"/>
        </w:trPr>
        <w:tc>
          <w:tcPr>
            <w:tcW w:w="9800" w:type="dxa"/>
            <w:gridSpan w:val="17"/>
            <w:noWrap w:val="0"/>
            <w:vAlign w:val="center"/>
          </w:tcPr>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061" w:hRule="atLeast"/>
          <w:jc w:val="center"/>
        </w:trPr>
        <w:tc>
          <w:tcPr>
            <w:tcW w:w="9800" w:type="dxa"/>
            <w:gridSpan w:val="17"/>
            <w:noWrap w:val="0"/>
            <w:vAlign w:val="center"/>
          </w:tcPr>
          <w:p>
            <w:pPr>
              <w:spacing w:line="320" w:lineRule="exact"/>
              <w:rPr>
                <w:rFonts w:eastAsia="仿宋_GB2312"/>
                <w:sz w:val="24"/>
              </w:rPr>
            </w:pPr>
            <w:r>
              <w:rPr>
                <w:rFonts w:hint="eastAsia" w:eastAsia="仿宋_GB2312"/>
                <w:sz w:val="24"/>
              </w:rPr>
              <w:t>财政部门归口业务科室意见：</w:t>
            </w: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p>
          <w:p>
            <w:pPr>
              <w:spacing w:line="320" w:lineRule="exact"/>
              <w:rPr>
                <w:rFonts w:eastAsia="仿宋_GB2312"/>
                <w:sz w:val="24"/>
              </w:rPr>
            </w:pPr>
            <w:r>
              <w:rPr>
                <w:rFonts w:hint="eastAsia" w:eastAsia="仿宋_GB2312"/>
                <w:sz w:val="24"/>
              </w:rPr>
              <w:t xml:space="preserve">                                  财政部门归口业务股室负责人（签章）：</w:t>
            </w:r>
          </w:p>
          <w:p>
            <w:pPr>
              <w:autoSpaceDN w:val="0"/>
              <w:spacing w:line="320" w:lineRule="exact"/>
              <w:jc w:val="left"/>
              <w:textAlignment w:val="center"/>
              <w:rPr>
                <w:rFonts w:ascii="仿宋_GB2312" w:hAnsi="仿宋_GB2312" w:eastAsia="仿宋_GB2312" w:cs="仿宋_GB2312"/>
                <w:color w:val="000000"/>
                <w:sz w:val="24"/>
              </w:rPr>
            </w:pPr>
            <w:r>
              <w:rPr>
                <w:rFonts w:hint="eastAsia" w:eastAsia="仿宋_GB2312"/>
                <w:sz w:val="24"/>
              </w:rPr>
              <w:t xml:space="preserve">                                                                 年    月   日</w:t>
            </w:r>
          </w:p>
        </w:tc>
      </w:tr>
    </w:tbl>
    <w:p>
      <w:pPr>
        <w:rPr>
          <w:rFonts w:eastAsia="仿宋_GB2312" w:cs="仿宋_GB2312"/>
          <w:bCs/>
          <w:sz w:val="28"/>
          <w:szCs w:val="28"/>
        </w:rPr>
      </w:pPr>
      <w:r>
        <w:rPr>
          <w:rFonts w:hint="eastAsia" w:eastAsia="仿宋_GB2312" w:cs="仿宋_GB2312"/>
          <w:bCs/>
          <w:sz w:val="28"/>
          <w:szCs w:val="28"/>
        </w:rPr>
        <w:t>填报人（签名）：                          联系电话：</w:t>
      </w:r>
    </w:p>
    <w:tbl>
      <w:tblPr>
        <w:tblStyle w:val="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eastAsia="仿宋_GB2312"/>
                <w:sz w:val="32"/>
                <w:szCs w:val="32"/>
              </w:rPr>
            </w:pP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产业开发区</w:t>
            </w:r>
            <w:r>
              <w:rPr>
                <w:rFonts w:hint="eastAsia" w:ascii="仿宋_GB2312" w:hAnsi="仿宋_GB2312" w:eastAsia="仿宋_GB2312" w:cs="仿宋_GB2312"/>
                <w:bCs/>
                <w:sz w:val="28"/>
                <w:szCs w:val="28"/>
              </w:rPr>
              <w:t>管委会是区财政全额拨款</w:t>
            </w:r>
            <w:r>
              <w:rPr>
                <w:rFonts w:hint="eastAsia" w:ascii="仿宋_GB2312" w:hAnsi="仿宋_GB2312" w:eastAsia="仿宋_GB2312" w:cs="仿宋_GB2312"/>
                <w:bCs/>
                <w:sz w:val="28"/>
                <w:szCs w:val="28"/>
                <w:lang w:eastAsia="zh-CN"/>
              </w:rPr>
              <w:t>事业</w:t>
            </w:r>
            <w:r>
              <w:rPr>
                <w:rFonts w:hint="eastAsia" w:ascii="仿宋_GB2312" w:hAnsi="仿宋_GB2312" w:eastAsia="仿宋_GB2312" w:cs="仿宋_GB2312"/>
                <w:bCs/>
                <w:sz w:val="28"/>
                <w:szCs w:val="28"/>
              </w:rPr>
              <w:t>单位。20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年区编办核实人员编制数为19人，</w:t>
            </w:r>
            <w:r>
              <w:rPr>
                <w:rFonts w:hint="eastAsia" w:ascii="仿宋_GB2312" w:hAnsi="仿宋_GB2312" w:eastAsia="仿宋_GB2312" w:cs="仿宋_GB2312"/>
                <w:bCs/>
                <w:sz w:val="28"/>
                <w:szCs w:val="28"/>
                <w:lang w:eastAsia="zh-CN"/>
              </w:rPr>
              <w:t>年底</w:t>
            </w:r>
            <w:r>
              <w:rPr>
                <w:rFonts w:hint="eastAsia" w:ascii="仿宋_GB2312" w:hAnsi="仿宋_GB2312" w:eastAsia="仿宋_GB2312" w:cs="仿宋_GB2312"/>
                <w:bCs/>
                <w:sz w:val="28"/>
                <w:szCs w:val="28"/>
              </w:rPr>
              <w:t>实有人数为1</w:t>
            </w:r>
            <w:r>
              <w:rPr>
                <w:rFonts w:hint="eastAsia" w:ascii="仿宋_GB2312" w:hAnsi="仿宋_GB2312" w:eastAsia="仿宋_GB2312" w:cs="仿宋_GB2312"/>
                <w:bCs/>
                <w:sz w:val="28"/>
                <w:szCs w:val="28"/>
                <w:lang w:val="en-US" w:eastAsia="zh-CN"/>
              </w:rPr>
              <w:t>7</w:t>
            </w:r>
            <w:r>
              <w:rPr>
                <w:rFonts w:hint="eastAsia" w:ascii="仿宋_GB2312" w:hAnsi="仿宋_GB2312" w:eastAsia="仿宋_GB2312" w:cs="仿宋_GB2312"/>
                <w:bCs/>
                <w:sz w:val="28"/>
                <w:szCs w:val="28"/>
              </w:rPr>
              <w:t>人。内设有部室有办公室、规划建设部、招商联络部、企业服务部、财务审计部等。主要工作职责如下：</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贯彻执行国家有关对工业园区开发的方针、政策，落实省、市、区有关对工业园区开发的文件精神，并结合实际拟订具体的实施和管理办法。2.根据区城市总体规划和园区产业发展，负责编制并组织实施工业园区总体发展规划以及控制性详细规划。3.负责优化工业园区投资环境，开展和落实全区的招商引资工作。4.负责园区融资工作和归口管理君山区工业园投资开发有限公司。5.负责工业园区基础设施建设，协调企业的各种行政性审批事项，根据投资项目的规划、定点和施工，负责企业用地的放样和企业厂房规划与设计的审核。6.负责工业园区精神文明建设，协助有关部门做好企业用工和社会劳动保障等工作。7.负责工业园区经济运行及有关涉外事物，协调和沟通工业园区企业间、企业与各方面之间的关系。8.协助工业园区企业搞好安全生产、环境保护、绿化美化亮化、计划生育和综合治理等工作。9.承办区委、区人民政府交办的其他工作。</w:t>
            </w:r>
          </w:p>
          <w:p>
            <w:pPr>
              <w:numPr>
                <w:ilvl w:val="0"/>
                <w:numId w:val="1"/>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部门（单位）整体支出规模、使用方向和主要内容、涉及范围等</w:t>
            </w:r>
          </w:p>
          <w:p>
            <w:pPr>
              <w:numPr>
                <w:ilvl w:val="0"/>
                <w:numId w:val="0"/>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部门整体支出</w:t>
            </w:r>
            <w:r>
              <w:rPr>
                <w:rFonts w:hint="eastAsia" w:ascii="仿宋_GB2312" w:hAnsi="仿宋_GB2312" w:eastAsia="仿宋_GB2312" w:cs="仿宋_GB2312"/>
                <w:bCs/>
                <w:sz w:val="28"/>
                <w:szCs w:val="28"/>
                <w:lang w:val="en-US" w:eastAsia="zh-CN"/>
              </w:rPr>
              <w:t>5184.23</w:t>
            </w:r>
            <w:r>
              <w:rPr>
                <w:rFonts w:hint="eastAsia" w:ascii="仿宋_GB2312" w:hAnsi="仿宋_GB2312" w:eastAsia="仿宋_GB2312" w:cs="仿宋_GB2312"/>
                <w:bCs/>
                <w:sz w:val="28"/>
                <w:szCs w:val="28"/>
              </w:rPr>
              <w:t>万元，主要用于单位日常基本支出、招商引资工作、基础设施配套建设、企业服务工作</w:t>
            </w:r>
            <w:r>
              <w:rPr>
                <w:rFonts w:hint="eastAsia" w:ascii="仿宋_GB2312" w:hAnsi="仿宋_GB2312" w:eastAsia="仿宋_GB2312" w:cs="仿宋_GB2312"/>
                <w:bCs/>
                <w:sz w:val="28"/>
                <w:szCs w:val="28"/>
                <w:lang w:eastAsia="zh-CN"/>
              </w:rPr>
              <w:t>和对企业的补助资金</w:t>
            </w:r>
            <w:r>
              <w:rPr>
                <w:rFonts w:hint="eastAsia" w:ascii="仿宋_GB2312" w:hAnsi="仿宋_GB2312" w:eastAsia="仿宋_GB2312" w:cs="仿宋_GB2312"/>
                <w:bCs/>
                <w:sz w:val="28"/>
                <w:szCs w:val="28"/>
              </w:rPr>
              <w:t>等。</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我单位基本支出主要用于维护机关正常工作的开展和运行所产生的费用，“三公”经费严格按照年初预算支出。20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年基本支出</w:t>
            </w:r>
            <w:r>
              <w:rPr>
                <w:rFonts w:hint="eastAsia" w:ascii="仿宋_GB2312" w:hAnsi="仿宋_GB2312" w:eastAsia="仿宋_GB2312" w:cs="仿宋_GB2312"/>
                <w:bCs/>
                <w:sz w:val="28"/>
                <w:szCs w:val="28"/>
                <w:lang w:val="en-US" w:eastAsia="zh-CN"/>
              </w:rPr>
              <w:t>193.15</w:t>
            </w:r>
            <w:r>
              <w:rPr>
                <w:rFonts w:hint="eastAsia" w:ascii="仿宋_GB2312" w:hAnsi="仿宋_GB2312" w:eastAsia="仿宋_GB2312" w:cs="仿宋_GB2312"/>
                <w:bCs/>
                <w:sz w:val="28"/>
                <w:szCs w:val="28"/>
              </w:rPr>
              <w:t>万元，其中人员支出</w:t>
            </w:r>
            <w:r>
              <w:rPr>
                <w:rFonts w:hint="eastAsia" w:ascii="仿宋_GB2312" w:hAnsi="仿宋_GB2312" w:eastAsia="仿宋_GB2312" w:cs="仿宋_GB2312"/>
                <w:bCs/>
                <w:sz w:val="28"/>
                <w:szCs w:val="28"/>
                <w:lang w:val="en-US" w:eastAsia="zh-CN"/>
              </w:rPr>
              <w:t>173.89</w:t>
            </w:r>
            <w:r>
              <w:rPr>
                <w:rFonts w:hint="eastAsia" w:ascii="仿宋_GB2312" w:hAnsi="仿宋_GB2312" w:eastAsia="仿宋_GB2312" w:cs="仿宋_GB2312"/>
                <w:bCs/>
                <w:sz w:val="28"/>
                <w:szCs w:val="28"/>
              </w:rPr>
              <w:t>万元，日常公用支出</w:t>
            </w:r>
            <w:r>
              <w:rPr>
                <w:rFonts w:hint="eastAsia" w:ascii="仿宋_GB2312" w:hAnsi="仿宋_GB2312" w:eastAsia="仿宋_GB2312" w:cs="仿宋_GB2312"/>
                <w:bCs/>
                <w:sz w:val="28"/>
                <w:szCs w:val="28"/>
                <w:lang w:val="en-US" w:eastAsia="zh-CN"/>
              </w:rPr>
              <w:t>19.26</w:t>
            </w:r>
            <w:r>
              <w:rPr>
                <w:rFonts w:hint="eastAsia" w:ascii="仿宋_GB2312" w:hAnsi="仿宋_GB2312" w:eastAsia="仿宋_GB2312" w:cs="仿宋_GB2312"/>
                <w:bCs/>
                <w:sz w:val="28"/>
                <w:szCs w:val="28"/>
              </w:rPr>
              <w:t>万元。</w:t>
            </w:r>
          </w:p>
          <w:p>
            <w:pPr>
              <w:numPr>
                <w:ilvl w:val="0"/>
                <w:numId w:val="2"/>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w:t>
            </w:r>
          </w:p>
          <w:p>
            <w:pPr>
              <w:numPr>
                <w:ilvl w:val="0"/>
                <w:numId w:val="3"/>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专项支出总计</w:t>
            </w:r>
            <w:r>
              <w:rPr>
                <w:rFonts w:hint="eastAsia" w:ascii="仿宋_GB2312" w:hAnsi="仿宋_GB2312" w:eastAsia="仿宋_GB2312" w:cs="仿宋_GB2312"/>
                <w:bCs/>
                <w:sz w:val="28"/>
                <w:szCs w:val="28"/>
                <w:lang w:val="en-US" w:eastAsia="zh-CN"/>
              </w:rPr>
              <w:t>4991.08</w:t>
            </w:r>
            <w:r>
              <w:rPr>
                <w:rFonts w:hint="eastAsia" w:ascii="仿宋_GB2312" w:hAnsi="仿宋_GB2312" w:eastAsia="仿宋_GB2312" w:cs="仿宋_GB2312"/>
                <w:bCs/>
                <w:sz w:val="28"/>
                <w:szCs w:val="28"/>
              </w:rPr>
              <w:t>万元。项目资金由财政统一拨付。</w:t>
            </w:r>
          </w:p>
          <w:p>
            <w:pPr>
              <w:numPr>
                <w:ilvl w:val="0"/>
                <w:numId w:val="3"/>
              </w:num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专项资金实际使用情况</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专项支出总计</w:t>
            </w:r>
            <w:r>
              <w:rPr>
                <w:rFonts w:hint="eastAsia" w:ascii="仿宋_GB2312" w:hAnsi="仿宋_GB2312" w:eastAsia="仿宋_GB2312" w:cs="仿宋_GB2312"/>
                <w:bCs/>
                <w:sz w:val="28"/>
                <w:szCs w:val="28"/>
                <w:lang w:val="en-US" w:eastAsia="zh-CN"/>
              </w:rPr>
              <w:t>4991.08</w:t>
            </w:r>
            <w:r>
              <w:rPr>
                <w:rFonts w:hint="eastAsia" w:ascii="仿宋_GB2312" w:hAnsi="仿宋_GB2312" w:eastAsia="仿宋_GB2312" w:cs="仿宋_GB2312"/>
                <w:bCs/>
                <w:sz w:val="28"/>
                <w:szCs w:val="28"/>
              </w:rPr>
              <w:t>万元。其中，招商引资专项资金</w:t>
            </w:r>
            <w:r>
              <w:rPr>
                <w:rFonts w:hint="eastAsia" w:ascii="仿宋_GB2312" w:hAnsi="仿宋_GB2312" w:eastAsia="仿宋_GB2312" w:cs="仿宋_GB2312"/>
                <w:bCs/>
                <w:sz w:val="28"/>
                <w:szCs w:val="28"/>
                <w:lang w:val="en-US" w:eastAsia="zh-CN"/>
              </w:rPr>
              <w:t>176.56</w:t>
            </w:r>
            <w:r>
              <w:rPr>
                <w:rFonts w:hint="eastAsia" w:ascii="仿宋_GB2312" w:hAnsi="仿宋_GB2312" w:eastAsia="仿宋_GB2312" w:cs="仿宋_GB2312"/>
                <w:bCs/>
                <w:sz w:val="28"/>
                <w:szCs w:val="28"/>
              </w:rPr>
              <w:t>万元；企业服务项目资金</w:t>
            </w:r>
            <w:r>
              <w:rPr>
                <w:rFonts w:hint="eastAsia" w:ascii="仿宋_GB2312" w:hAnsi="仿宋_GB2312" w:eastAsia="仿宋_GB2312" w:cs="仿宋_GB2312"/>
                <w:bCs/>
                <w:sz w:val="28"/>
                <w:szCs w:val="28"/>
                <w:lang w:val="en-US" w:eastAsia="zh-CN"/>
              </w:rPr>
              <w:t>131.37</w:t>
            </w:r>
            <w:r>
              <w:rPr>
                <w:rFonts w:hint="eastAsia" w:ascii="仿宋_GB2312" w:hAnsi="仿宋_GB2312" w:eastAsia="仿宋_GB2312" w:cs="仿宋_GB2312"/>
                <w:bCs/>
                <w:sz w:val="28"/>
                <w:szCs w:val="28"/>
              </w:rPr>
              <w:t>万元；基础设施建设项目资金</w:t>
            </w:r>
            <w:r>
              <w:rPr>
                <w:rFonts w:hint="eastAsia" w:ascii="仿宋_GB2312" w:hAnsi="仿宋_GB2312" w:eastAsia="仿宋_GB2312" w:cs="仿宋_GB2312"/>
                <w:bCs/>
                <w:sz w:val="28"/>
                <w:szCs w:val="28"/>
                <w:lang w:val="en-US" w:eastAsia="zh-CN"/>
              </w:rPr>
              <w:t>195.5</w:t>
            </w:r>
            <w:r>
              <w:rPr>
                <w:rFonts w:hint="eastAsia" w:ascii="仿宋_GB2312" w:hAnsi="仿宋_GB2312" w:eastAsia="仿宋_GB2312" w:cs="仿宋_GB2312"/>
                <w:bCs/>
                <w:sz w:val="28"/>
                <w:szCs w:val="28"/>
              </w:rPr>
              <w:t>万元；对企业的补助资金</w:t>
            </w:r>
            <w:r>
              <w:rPr>
                <w:rFonts w:hint="eastAsia" w:ascii="仿宋_GB2312" w:hAnsi="仿宋_GB2312" w:eastAsia="仿宋_GB2312" w:cs="仿宋_GB2312"/>
                <w:bCs/>
                <w:sz w:val="28"/>
                <w:szCs w:val="28"/>
                <w:lang w:val="en-US" w:eastAsia="zh-CN"/>
              </w:rPr>
              <w:t>4269.31万元</w:t>
            </w:r>
            <w:r>
              <w:rPr>
                <w:rFonts w:hint="eastAsia" w:ascii="仿宋_GB2312" w:hAnsi="仿宋_GB2312" w:eastAsia="仿宋_GB2312" w:cs="仿宋_GB2312"/>
                <w:bCs/>
                <w:sz w:val="28"/>
                <w:szCs w:val="28"/>
              </w:rPr>
              <w:t>；绩效考核工资</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招聘人员工资</w:t>
            </w:r>
            <w:r>
              <w:rPr>
                <w:rFonts w:hint="eastAsia" w:ascii="仿宋_GB2312" w:hAnsi="仿宋_GB2312" w:eastAsia="仿宋_GB2312" w:cs="仿宋_GB2312"/>
                <w:bCs/>
                <w:sz w:val="28"/>
                <w:szCs w:val="28"/>
                <w:lang w:eastAsia="zh-CN"/>
              </w:rPr>
              <w:t>及奖金</w:t>
            </w:r>
            <w:r>
              <w:rPr>
                <w:rFonts w:hint="eastAsia" w:ascii="仿宋_GB2312" w:hAnsi="仿宋_GB2312" w:eastAsia="仿宋_GB2312" w:cs="仿宋_GB2312"/>
                <w:bCs/>
                <w:sz w:val="28"/>
                <w:szCs w:val="28"/>
                <w:lang w:val="en-US" w:eastAsia="zh-CN"/>
              </w:rPr>
              <w:t>154.34</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，隔离点生活设施改造</w:t>
            </w:r>
            <w:r>
              <w:rPr>
                <w:rFonts w:hint="eastAsia" w:ascii="仿宋_GB2312" w:hAnsi="仿宋_GB2312" w:eastAsia="仿宋_GB2312" w:cs="仿宋_GB2312"/>
                <w:bCs/>
                <w:sz w:val="28"/>
                <w:szCs w:val="28"/>
                <w:lang w:val="en-US" w:eastAsia="zh-CN"/>
              </w:rPr>
              <w:t>64万元</w:t>
            </w:r>
            <w:r>
              <w:rPr>
                <w:rFonts w:hint="eastAsia" w:ascii="仿宋_GB2312" w:hAnsi="仿宋_GB2312" w:eastAsia="仿宋_GB2312" w:cs="仿宋_GB2312"/>
                <w:bCs/>
                <w:sz w:val="28"/>
                <w:szCs w:val="28"/>
              </w:rPr>
              <w:t>。</w:t>
            </w:r>
          </w:p>
          <w:p>
            <w:pPr>
              <w:numPr>
                <w:ilvl w:val="0"/>
                <w:numId w:val="4"/>
              </w:num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专项资金管理情况分析</w:t>
            </w:r>
          </w:p>
          <w:p>
            <w:pPr>
              <w:numPr>
                <w:ilvl w:val="0"/>
                <w:numId w:val="0"/>
              </w:numPr>
              <w:spacing w:line="560" w:lineRule="exact"/>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我单位根据区财政局专项资金管理政策，细化制定了适用于园区的专项资金财务管理办法，资金拨付时严格按照专项资金审批程序组织实行，保障各款项实现专款专用。</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numPr>
                <w:ilvl w:val="0"/>
                <w:numId w:val="0"/>
              </w:numPr>
              <w:spacing w:line="560" w:lineRule="exact"/>
              <w:ind w:firstLine="560" w:firstLineChars="200"/>
              <w:rPr>
                <w:rFonts w:hint="eastAsia" w:ascii="仿宋_GB2312" w:hAnsi="仿宋_GB2312" w:eastAsia="仿宋_GB2312" w:cs="仿宋_GB2312"/>
                <w:bCs/>
                <w:sz w:val="28"/>
                <w:szCs w:val="28"/>
                <w:lang w:eastAsia="zh-CN"/>
              </w:rPr>
            </w:pPr>
            <w:r>
              <w:rPr>
                <w:rFonts w:hint="eastAsia" w:ascii="仿宋_GB2312" w:hAnsi="仿宋_GB2312" w:eastAsia="仿宋_GB2312" w:cs="仿宋_GB2312"/>
                <w:bCs/>
                <w:sz w:val="28"/>
                <w:szCs w:val="28"/>
              </w:rPr>
              <w:t>今年专项资金财政拨入</w:t>
            </w:r>
            <w:r>
              <w:rPr>
                <w:rFonts w:hint="eastAsia" w:ascii="仿宋_GB2312" w:hAnsi="仿宋_GB2312" w:eastAsia="仿宋_GB2312" w:cs="仿宋_GB2312"/>
                <w:bCs/>
                <w:sz w:val="28"/>
                <w:szCs w:val="28"/>
                <w:lang w:val="en-US" w:eastAsia="zh-CN"/>
              </w:rPr>
              <w:t>4991.08</w:t>
            </w:r>
            <w:r>
              <w:rPr>
                <w:rFonts w:hint="eastAsia" w:ascii="仿宋_GB2312" w:hAnsi="仿宋_GB2312" w:eastAsia="仿宋_GB2312" w:cs="仿宋_GB2312"/>
                <w:bCs/>
                <w:sz w:val="28"/>
                <w:szCs w:val="28"/>
              </w:rPr>
              <w:t>万元，主要用于招商引资、标准化厂房建设、基础设施建设</w:t>
            </w:r>
            <w:r>
              <w:rPr>
                <w:rFonts w:hint="eastAsia" w:ascii="仿宋_GB2312" w:hAnsi="仿宋_GB2312" w:eastAsia="仿宋_GB2312" w:cs="仿宋_GB2312"/>
                <w:bCs/>
                <w:sz w:val="28"/>
                <w:szCs w:val="28"/>
                <w:lang w:eastAsia="zh-CN"/>
              </w:rPr>
              <w:t>及区内总部经济项目补助等</w:t>
            </w:r>
            <w:r>
              <w:rPr>
                <w:rFonts w:hint="eastAsia" w:ascii="仿宋_GB2312" w:hAnsi="仿宋_GB2312" w:eastAsia="仿宋_GB2312" w:cs="仿宋_GB2312"/>
                <w:bCs/>
                <w:sz w:val="28"/>
                <w:szCs w:val="28"/>
              </w:rPr>
              <w:t>。20</w:t>
            </w:r>
            <w:r>
              <w:rPr>
                <w:rFonts w:hint="eastAsia" w:ascii="仿宋_GB2312" w:hAnsi="仿宋_GB2312" w:eastAsia="仿宋_GB2312" w:cs="仿宋_GB2312"/>
                <w:bCs/>
                <w:sz w:val="28"/>
                <w:szCs w:val="28"/>
                <w:lang w:val="en-US" w:eastAsia="zh-CN"/>
              </w:rPr>
              <w:t>21</w:t>
            </w:r>
            <w:r>
              <w:rPr>
                <w:rFonts w:hint="eastAsia" w:ascii="仿宋_GB2312" w:hAnsi="仿宋_GB2312" w:eastAsia="仿宋_GB2312" w:cs="仿宋_GB2312"/>
                <w:bCs/>
                <w:sz w:val="28"/>
                <w:szCs w:val="28"/>
              </w:rPr>
              <w:t>年专项支出总计</w:t>
            </w:r>
            <w:r>
              <w:rPr>
                <w:rFonts w:hint="eastAsia" w:ascii="仿宋_GB2312" w:hAnsi="仿宋_GB2312" w:eastAsia="仿宋_GB2312" w:cs="仿宋_GB2312"/>
                <w:bCs/>
                <w:sz w:val="28"/>
                <w:szCs w:val="28"/>
                <w:lang w:val="en-US" w:eastAsia="zh-CN"/>
              </w:rPr>
              <w:t>4991.08</w:t>
            </w:r>
            <w:r>
              <w:rPr>
                <w:rFonts w:hint="eastAsia" w:ascii="仿宋_GB2312" w:hAnsi="仿宋_GB2312" w:eastAsia="仿宋_GB2312" w:cs="仿宋_GB2312"/>
                <w:bCs/>
                <w:sz w:val="28"/>
                <w:szCs w:val="28"/>
              </w:rPr>
              <w:t>万元。其中，招商引资专项资金</w:t>
            </w:r>
            <w:r>
              <w:rPr>
                <w:rFonts w:hint="eastAsia" w:ascii="仿宋_GB2312" w:hAnsi="仿宋_GB2312" w:eastAsia="仿宋_GB2312" w:cs="仿宋_GB2312"/>
                <w:bCs/>
                <w:sz w:val="28"/>
                <w:szCs w:val="28"/>
                <w:lang w:val="en-US" w:eastAsia="zh-CN"/>
              </w:rPr>
              <w:t>176.56</w:t>
            </w:r>
            <w:r>
              <w:rPr>
                <w:rFonts w:hint="eastAsia" w:ascii="仿宋_GB2312" w:hAnsi="仿宋_GB2312" w:eastAsia="仿宋_GB2312" w:cs="仿宋_GB2312"/>
                <w:bCs/>
                <w:sz w:val="28"/>
                <w:szCs w:val="28"/>
              </w:rPr>
              <w:t>万元；企业服务项目资金</w:t>
            </w:r>
            <w:r>
              <w:rPr>
                <w:rFonts w:hint="eastAsia" w:ascii="仿宋_GB2312" w:hAnsi="仿宋_GB2312" w:eastAsia="仿宋_GB2312" w:cs="仿宋_GB2312"/>
                <w:bCs/>
                <w:sz w:val="28"/>
                <w:szCs w:val="28"/>
                <w:lang w:val="en-US" w:eastAsia="zh-CN"/>
              </w:rPr>
              <w:t>131.37</w:t>
            </w:r>
            <w:r>
              <w:rPr>
                <w:rFonts w:hint="eastAsia" w:ascii="仿宋_GB2312" w:hAnsi="仿宋_GB2312" w:eastAsia="仿宋_GB2312" w:cs="仿宋_GB2312"/>
                <w:bCs/>
                <w:sz w:val="28"/>
                <w:szCs w:val="28"/>
              </w:rPr>
              <w:t>万元；基础设施建设项目资金</w:t>
            </w:r>
            <w:r>
              <w:rPr>
                <w:rFonts w:hint="eastAsia" w:ascii="仿宋_GB2312" w:hAnsi="仿宋_GB2312" w:eastAsia="仿宋_GB2312" w:cs="仿宋_GB2312"/>
                <w:bCs/>
                <w:sz w:val="28"/>
                <w:szCs w:val="28"/>
                <w:lang w:val="en-US" w:eastAsia="zh-CN"/>
              </w:rPr>
              <w:t>195.5</w:t>
            </w:r>
            <w:r>
              <w:rPr>
                <w:rFonts w:hint="eastAsia" w:ascii="仿宋_GB2312" w:hAnsi="仿宋_GB2312" w:eastAsia="仿宋_GB2312" w:cs="仿宋_GB2312"/>
                <w:bCs/>
                <w:sz w:val="28"/>
                <w:szCs w:val="28"/>
              </w:rPr>
              <w:t>万元；对企业的补助资金</w:t>
            </w:r>
            <w:r>
              <w:rPr>
                <w:rFonts w:hint="eastAsia" w:ascii="仿宋_GB2312" w:hAnsi="仿宋_GB2312" w:eastAsia="仿宋_GB2312" w:cs="仿宋_GB2312"/>
                <w:bCs/>
                <w:sz w:val="28"/>
                <w:szCs w:val="28"/>
                <w:lang w:val="en-US" w:eastAsia="zh-CN"/>
              </w:rPr>
              <w:t>4269.31万元</w:t>
            </w:r>
            <w:r>
              <w:rPr>
                <w:rFonts w:hint="eastAsia" w:ascii="仿宋_GB2312" w:hAnsi="仿宋_GB2312" w:eastAsia="仿宋_GB2312" w:cs="仿宋_GB2312"/>
                <w:bCs/>
                <w:sz w:val="28"/>
                <w:szCs w:val="28"/>
              </w:rPr>
              <w:t>；绩效考核工资</w:t>
            </w:r>
            <w:r>
              <w:rPr>
                <w:rFonts w:hint="eastAsia" w:ascii="仿宋_GB2312" w:hAnsi="仿宋_GB2312" w:eastAsia="仿宋_GB2312" w:cs="仿宋_GB2312"/>
                <w:bCs/>
                <w:sz w:val="28"/>
                <w:szCs w:val="28"/>
                <w:lang w:eastAsia="zh-CN"/>
              </w:rPr>
              <w:t>、</w:t>
            </w:r>
            <w:r>
              <w:rPr>
                <w:rFonts w:hint="eastAsia" w:ascii="仿宋_GB2312" w:hAnsi="仿宋_GB2312" w:eastAsia="仿宋_GB2312" w:cs="仿宋_GB2312"/>
                <w:bCs/>
                <w:sz w:val="28"/>
                <w:szCs w:val="28"/>
              </w:rPr>
              <w:t>招聘人员工资</w:t>
            </w:r>
            <w:r>
              <w:rPr>
                <w:rFonts w:hint="eastAsia" w:ascii="仿宋_GB2312" w:hAnsi="仿宋_GB2312" w:eastAsia="仿宋_GB2312" w:cs="仿宋_GB2312"/>
                <w:bCs/>
                <w:sz w:val="28"/>
                <w:szCs w:val="28"/>
                <w:lang w:eastAsia="zh-CN"/>
              </w:rPr>
              <w:t>及奖金</w:t>
            </w:r>
            <w:r>
              <w:rPr>
                <w:rFonts w:hint="eastAsia" w:ascii="仿宋_GB2312" w:hAnsi="仿宋_GB2312" w:eastAsia="仿宋_GB2312" w:cs="仿宋_GB2312"/>
                <w:bCs/>
                <w:sz w:val="28"/>
                <w:szCs w:val="28"/>
                <w:lang w:val="en-US" w:eastAsia="zh-CN"/>
              </w:rPr>
              <w:t>154.34</w:t>
            </w:r>
            <w:r>
              <w:rPr>
                <w:rFonts w:hint="eastAsia" w:ascii="仿宋_GB2312" w:hAnsi="仿宋_GB2312" w:eastAsia="仿宋_GB2312" w:cs="仿宋_GB2312"/>
                <w:bCs/>
                <w:sz w:val="28"/>
                <w:szCs w:val="28"/>
              </w:rPr>
              <w:t>万元</w:t>
            </w:r>
            <w:r>
              <w:rPr>
                <w:rFonts w:hint="eastAsia" w:ascii="仿宋_GB2312" w:hAnsi="仿宋_GB2312" w:eastAsia="仿宋_GB2312" w:cs="仿宋_GB2312"/>
                <w:bCs/>
                <w:sz w:val="28"/>
                <w:szCs w:val="28"/>
                <w:lang w:eastAsia="zh-CN"/>
              </w:rPr>
              <w:t>，隔离点生活设施改造</w:t>
            </w:r>
            <w:r>
              <w:rPr>
                <w:rFonts w:hint="eastAsia" w:ascii="仿宋_GB2312" w:hAnsi="仿宋_GB2312" w:eastAsia="仿宋_GB2312" w:cs="仿宋_GB2312"/>
                <w:bCs/>
                <w:sz w:val="28"/>
                <w:szCs w:val="28"/>
                <w:lang w:val="en-US" w:eastAsia="zh-CN"/>
              </w:rPr>
              <w:t>64万元</w:t>
            </w:r>
            <w:r>
              <w:rPr>
                <w:rFonts w:hint="eastAsia" w:ascii="仿宋_GB2312" w:hAnsi="仿宋_GB2312" w:eastAsia="仿宋_GB2312" w:cs="仿宋_GB2312"/>
                <w:bCs/>
                <w:sz w:val="28"/>
                <w:szCs w:val="28"/>
              </w:rPr>
              <w:t>。</w:t>
            </w:r>
          </w:p>
          <w:p>
            <w:pPr>
              <w:numPr>
                <w:ilvl w:val="0"/>
                <w:numId w:val="0"/>
              </w:numPr>
              <w:spacing w:line="560" w:lineRule="exact"/>
              <w:ind w:left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lang w:eastAsia="zh-CN"/>
              </w:rPr>
              <w:t>（二）</w:t>
            </w:r>
            <w:r>
              <w:rPr>
                <w:rFonts w:hint="eastAsia" w:ascii="仿宋_GB2312" w:hAnsi="仿宋_GB2312" w:eastAsia="仿宋_GB2312" w:cs="仿宋_GB2312"/>
                <w:bCs/>
                <w:sz w:val="28"/>
                <w:szCs w:val="28"/>
              </w:rPr>
              <w:t>专项管理情况分析</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hint="default"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 xml:space="preserve">    我单位对于专项资金的使用制定了相应的财务审批手续，做到项目建设管理资金专款到户。按职责分工、资金申报和分配、项目实施管理、资金监管等落实到位；基础设施建设资金，按照建设项目内控制度管理。</w:t>
            </w:r>
          </w:p>
          <w:p>
            <w:pPr>
              <w:numPr>
                <w:ilvl w:val="0"/>
                <w:numId w:val="5"/>
              </w:numPr>
              <w:spacing w:line="560" w:lineRule="exact"/>
              <w:ind w:firstLine="560" w:firstLineChars="200"/>
              <w:rPr>
                <w:rFonts w:hint="eastAsia" w:ascii="黑体" w:hAnsi="黑体" w:eastAsia="黑体" w:cs="黑体"/>
                <w:bCs/>
                <w:sz w:val="28"/>
                <w:szCs w:val="28"/>
                <w:highlight w:val="none"/>
              </w:rPr>
            </w:pPr>
            <w:r>
              <w:rPr>
                <w:rFonts w:hint="eastAsia" w:ascii="黑体" w:hAnsi="黑体" w:eastAsia="黑体" w:cs="黑体"/>
                <w:bCs/>
                <w:sz w:val="28"/>
                <w:szCs w:val="28"/>
                <w:highlight w:val="none"/>
              </w:rPr>
              <w:t>部门（单位）整体支出绩效情况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1.园区主要经济指标方面：2021年，园区完成技工贸总收入约238.79亿元，同比增长26.58%；完成规模工业增加值约54.65亿元，同比增长28.26%；完成固定资产投资总量约42.47亿元，同比增长15.61%；年缴税收18868.01万元，同比增长69.38%。2.招商引资方面：1-12月，引进招商项目17个，合同引资额27.53亿元。3.项目服务方面：一是坚持代办制度，深入实施企业联点、手续代办等制度，所有入园项目明确服务专班，安排专人结对帮扶，并实行一线工作法，现场解决企业在投产、生产、经营等方面遇到的问题。二是设立服务窗口，积极承接赋权审批事项，已在区政务中心设立企业手续办理绿色通道窗口，并安排2人驻点办公服务。三是落实惠企政策，制订了《惠企政策宣传册》，从六个板块34个方面系统总结了优惠政策和申报条件，为国泰食品、大农米业、广恒照明等6家企业争取奖补资金200多万元。四是高质量完成省评任务，积极参加优化营商环境“省评”、“国评”，满意率达100%，收到省、市一致好评。4.规划建设方面：在园区配套上，完成了丁家路、白杨路等7条道路的项目建设；启动了杨树路、建业北路项目建设及富岗路（二期）、岳华西路的项目前期工作。完成了昌泰明渠（一期）主体工程、企业配电四期项目、周转房配套项目、格码配套项目、北片区蒸汽管网建设等生产配套，启动了昌泰君建明渠二期项目前期工作和企业配电五期项目建设。园区食堂、750套公租房等配套正式投入使用。在项目建设上，多家企业通过追加投资和技术改造的方式，在园区进行“二次创业”，其中新宏、宝辰、天乐已签订扩产租赁合同；正源食品、洞庭苇田实现“腾笼换</w:t>
            </w:r>
            <w:bookmarkStart w:id="0" w:name="_GoBack"/>
            <w:bookmarkEnd w:id="0"/>
            <w:r>
              <w:rPr>
                <w:rFonts w:hint="eastAsia" w:ascii="仿宋_GB2312" w:hAnsi="仿宋_GB2312" w:eastAsia="仿宋_GB2312" w:cs="仿宋_GB2312"/>
                <w:bCs/>
                <w:sz w:val="28"/>
                <w:szCs w:val="28"/>
                <w:lang w:val="en-US" w:eastAsia="zh-CN"/>
              </w:rPr>
              <w:t>鸟”；三利和、新宏食品等多家企业均增加了300至1000万不等的创新投入；劲阳电子、鸿光机械、南博装配、罗斯包装集体入驻电子包装园；</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keepNext w:val="0"/>
              <w:keepLines w:val="0"/>
              <w:pageBreakBefore w:val="0"/>
              <w:widowControl w:val="0"/>
              <w:numPr>
                <w:ilvl w:val="0"/>
                <w:numId w:val="6"/>
              </w:numPr>
              <w:kinsoku/>
              <w:wordWrap/>
              <w:overflowPunct/>
              <w:topLinePunct w:val="0"/>
              <w:autoSpaceDE/>
              <w:autoSpaceDN/>
              <w:bidi w:val="0"/>
              <w:adjustRightInd/>
              <w:snapToGrid/>
              <w:spacing w:line="240" w:lineRule="auto"/>
              <w:ind w:firstLine="56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单位运行内控管理水平有待提高。内部控制是财务及机关运行的重要环节，通过内部控制实现预算管理、收支管理、资产管理、合同管理、基础设施管理等工作环节的有效运行，且保障专项资金的专款专用。</w:t>
            </w:r>
          </w:p>
          <w:p>
            <w:pPr>
              <w:keepNext w:val="0"/>
              <w:keepLines w:val="0"/>
              <w:pageBreakBefore w:val="0"/>
              <w:widowControl w:val="0"/>
              <w:numPr>
                <w:ilvl w:val="0"/>
                <w:numId w:val="6"/>
              </w:numPr>
              <w:kinsoku/>
              <w:wordWrap/>
              <w:overflowPunct/>
              <w:topLinePunct w:val="0"/>
              <w:autoSpaceDE/>
              <w:autoSpaceDN/>
              <w:bidi w:val="0"/>
              <w:adjustRightInd/>
              <w:snapToGrid/>
              <w:spacing w:line="240" w:lineRule="auto"/>
              <w:ind w:firstLine="56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财务政策宣传力度不够。对于上级下发的有关财务的制度及文件宣传较少，导致一些财务政策及信息更新不及时。</w:t>
            </w:r>
          </w:p>
          <w:p>
            <w:pPr>
              <w:spacing w:line="560" w:lineRule="exact"/>
              <w:ind w:firstLine="560" w:firstLineChars="200"/>
              <w:rPr>
                <w:rFonts w:ascii="黑体" w:hAnsi="黑体" w:eastAsia="黑体" w:cs="黑体"/>
                <w:bCs/>
                <w:sz w:val="28"/>
                <w:szCs w:val="28"/>
              </w:rPr>
            </w:pPr>
            <w:r>
              <w:rPr>
                <w:rFonts w:hint="eastAsia" w:ascii="黑体" w:hAnsi="黑体" w:eastAsia="黑体" w:cs="黑体"/>
                <w:bCs/>
                <w:sz w:val="28"/>
                <w:szCs w:val="28"/>
              </w:rPr>
              <w:t>六、改进措施和有关建议</w:t>
            </w:r>
          </w:p>
          <w:p>
            <w:pPr>
              <w:keepNext w:val="0"/>
              <w:keepLines w:val="0"/>
              <w:pageBreakBefore w:val="0"/>
              <w:widowControl w:val="0"/>
              <w:numPr>
                <w:ilvl w:val="0"/>
                <w:numId w:val="7"/>
              </w:numPr>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加强内部控制工作的建设</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firstLine="560" w:firstLineChars="20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根据上级下发的内部控制制度及相关文件，细化和规范制度，加强单位内部关于内控工作的动员和培训，严格落实制度，在内控管理小组的监督下，确保整体支出的可控化、合法化。</w:t>
            </w:r>
          </w:p>
          <w:p>
            <w:pPr>
              <w:keepNext w:val="0"/>
              <w:keepLines w:val="0"/>
              <w:pageBreakBefore w:val="0"/>
              <w:widowControl w:val="0"/>
              <w:numPr>
                <w:ilvl w:val="0"/>
                <w:numId w:val="7"/>
              </w:numPr>
              <w:kinsoku/>
              <w:wordWrap/>
              <w:overflowPunct/>
              <w:topLinePunct w:val="0"/>
              <w:autoSpaceDE/>
              <w:autoSpaceDN/>
              <w:bidi w:val="0"/>
              <w:adjustRightInd/>
              <w:snapToGrid/>
              <w:spacing w:line="240" w:lineRule="auto"/>
              <w:ind w:left="0" w:leftChars="0" w:firstLine="560" w:firstLineChars="200"/>
              <w:textAlignment w:val="auto"/>
              <w:rPr>
                <w:rFonts w:hint="eastAsia" w:ascii="仿宋_GB2312" w:hAnsi="仿宋_GB2312" w:eastAsia="仿宋_GB2312" w:cs="仿宋_GB2312"/>
                <w:bCs/>
                <w:sz w:val="28"/>
                <w:szCs w:val="28"/>
                <w:lang w:val="en-US" w:eastAsia="zh-CN"/>
              </w:rPr>
            </w:pPr>
            <w:r>
              <w:rPr>
                <w:rFonts w:hint="eastAsia" w:ascii="仿宋_GB2312" w:hAnsi="仿宋_GB2312" w:eastAsia="仿宋_GB2312" w:cs="仿宋_GB2312"/>
                <w:bCs/>
                <w:sz w:val="28"/>
                <w:szCs w:val="28"/>
                <w:lang w:val="en-US" w:eastAsia="zh-CN"/>
              </w:rPr>
              <w:t>加强财务制度的宣讲和培训</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textAlignment w:val="auto"/>
              <w:rPr>
                <w:rFonts w:eastAsia="楷体_GB2312"/>
                <w:bCs/>
                <w:sz w:val="28"/>
                <w:szCs w:val="28"/>
              </w:rPr>
            </w:pPr>
            <w:r>
              <w:rPr>
                <w:rFonts w:hint="eastAsia" w:ascii="仿宋_GB2312" w:hAnsi="仿宋_GB2312" w:eastAsia="仿宋_GB2312" w:cs="仿宋_GB2312"/>
                <w:bCs/>
                <w:sz w:val="28"/>
                <w:szCs w:val="28"/>
                <w:lang w:val="en-US" w:eastAsia="zh-CN"/>
              </w:rPr>
              <w:t xml:space="preserve">    定期组织对区内财务制度相关文件和单位内部财务制度进行培训和宣讲，让干部更好的理解费用报销的审批流程，使其他部门与财务工作衔接的更加高效、合理。</w:t>
            </w:r>
          </w:p>
        </w:tc>
      </w:tr>
    </w:tbl>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1448" w:wrap="around" w:vAnchor="text" w:hAnchor="margin" w:xAlign="outside" w:y="7"/>
      <w:rPr>
        <w:sz w:val="24"/>
      </w:rPr>
    </w:pPr>
    <w:r>
      <w:rPr>
        <w:sz w:val="24"/>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4</w:t>
                          </w:r>
                          <w:r>
                            <w:fldChar w:fldCharType="end"/>
                          </w:r>
                          <w:r>
                            <w:rPr>
                              <w:rStyle w:val="5"/>
                              <w:rFonts w:hint="eastAsia"/>
                            </w:rPr>
                            <w:t xml:space="preserve"> —</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Bp2gcnIAQAAmQMAAA4AAAAAAAAAAQAgAAAAHgEAAGRycy9lMm9Eb2Mu&#10;eG1sUEsFBgAAAAAGAAYAWQEAAFgFAAAAAA==&#10;">
              <v:fill on="f" focussize="0,0"/>
              <v:stroke on="f"/>
              <v:imagedata o:title=""/>
              <o:lock v:ext="edit" aspectratio="f"/>
              <v:textbox inset="0mm,0mm,0mm,0mm" style="mso-fit-shape-to-text:t;">
                <w:txbxContent>
                  <w:p>
                    <w:pPr>
                      <w:pStyle w:val="2"/>
                      <w:rPr>
                        <w:rStyle w:val="5"/>
                      </w:rPr>
                    </w:pPr>
                    <w:r>
                      <w:rPr>
                        <w:rStyle w:val="5"/>
                        <w:rFonts w:hint="eastAsia"/>
                      </w:rPr>
                      <w:t xml:space="preserve">— </w:t>
                    </w:r>
                    <w:r>
                      <w:fldChar w:fldCharType="begin"/>
                    </w:r>
                    <w:r>
                      <w:rPr>
                        <w:rStyle w:val="5"/>
                      </w:rPr>
                      <w:instrText xml:space="preserve">PAGE  </w:instrText>
                    </w:r>
                    <w:r>
                      <w:fldChar w:fldCharType="separate"/>
                    </w:r>
                    <w:r>
                      <w:rPr>
                        <w:rStyle w:val="5"/>
                      </w:rPr>
                      <w:t>4</w:t>
                    </w:r>
                    <w:r>
                      <w:fldChar w:fldCharType="end"/>
                    </w:r>
                    <w:r>
                      <w:rPr>
                        <w:rStyle w:val="5"/>
                        <w:rFonts w:hint="eastAsia"/>
                      </w:rPr>
                      <w:t xml:space="preserve"> —</w:t>
                    </w:r>
                  </w:p>
                </w:txbxContent>
              </v:textbox>
            </v:shape>
          </w:pict>
        </mc:Fallback>
      </mc:AlternateContent>
    </w:r>
  </w:p>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- 15 -</w:t>
    </w:r>
    <w:r>
      <w:fldChar w:fldCharType="end"/>
    </w:r>
  </w:p>
  <w:p>
    <w:pPr>
      <w:ind w:right="360" w:firstLine="360"/>
    </w:pP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8B2642E"/>
    <w:multiLevelType w:val="singleLevel"/>
    <w:tmpl w:val="A8B2642E"/>
    <w:lvl w:ilvl="0" w:tentative="0">
      <w:start w:val="3"/>
      <w:numFmt w:val="decimal"/>
      <w:suff w:val="nothing"/>
      <w:lvlText w:val="%1、"/>
      <w:lvlJc w:val="left"/>
    </w:lvl>
  </w:abstractNum>
  <w:abstractNum w:abstractNumId="1">
    <w:nsid w:val="B8081184"/>
    <w:multiLevelType w:val="singleLevel"/>
    <w:tmpl w:val="B8081184"/>
    <w:lvl w:ilvl="0" w:tentative="0">
      <w:start w:val="1"/>
      <w:numFmt w:val="decimal"/>
      <w:lvlText w:val="%1."/>
      <w:lvlJc w:val="left"/>
      <w:pPr>
        <w:tabs>
          <w:tab w:val="left" w:pos="312"/>
        </w:tabs>
      </w:pPr>
    </w:lvl>
  </w:abstractNum>
  <w:abstractNum w:abstractNumId="2">
    <w:nsid w:val="F5949EB1"/>
    <w:multiLevelType w:val="singleLevel"/>
    <w:tmpl w:val="F5949EB1"/>
    <w:lvl w:ilvl="0" w:tentative="0">
      <w:start w:val="1"/>
      <w:numFmt w:val="chineseCounting"/>
      <w:suff w:val="nothing"/>
      <w:lvlText w:val="（%1）"/>
      <w:lvlJc w:val="left"/>
      <w:rPr>
        <w:rFonts w:hint="eastAsia"/>
      </w:rPr>
    </w:lvl>
  </w:abstractNum>
  <w:abstractNum w:abstractNumId="3">
    <w:nsid w:val="211CBB2B"/>
    <w:multiLevelType w:val="singleLevel"/>
    <w:tmpl w:val="211CBB2B"/>
    <w:lvl w:ilvl="0" w:tentative="0">
      <w:start w:val="1"/>
      <w:numFmt w:val="chineseCounting"/>
      <w:suff w:val="nothing"/>
      <w:lvlText w:val="（%1）"/>
      <w:lvlJc w:val="left"/>
      <w:rPr>
        <w:rFonts w:hint="eastAsia"/>
      </w:rPr>
    </w:lvl>
  </w:abstractNum>
  <w:abstractNum w:abstractNumId="4">
    <w:nsid w:val="2C96C191"/>
    <w:multiLevelType w:val="singleLevel"/>
    <w:tmpl w:val="2C96C191"/>
    <w:lvl w:ilvl="0" w:tentative="0">
      <w:start w:val="4"/>
      <w:numFmt w:val="chineseCounting"/>
      <w:suff w:val="nothing"/>
      <w:lvlText w:val="%1、"/>
      <w:lvlJc w:val="left"/>
      <w:rPr>
        <w:rFonts w:hint="eastAsia"/>
      </w:rPr>
    </w:lvl>
  </w:abstractNum>
  <w:abstractNum w:abstractNumId="5">
    <w:nsid w:val="3CB78DD3"/>
    <w:multiLevelType w:val="singleLevel"/>
    <w:tmpl w:val="3CB78DD3"/>
    <w:lvl w:ilvl="0" w:tentative="0">
      <w:start w:val="2"/>
      <w:numFmt w:val="chineseCounting"/>
      <w:suff w:val="nothing"/>
      <w:lvlText w:val="（%1）"/>
      <w:lvlJc w:val="left"/>
      <w:rPr>
        <w:rFonts w:hint="eastAsia"/>
      </w:rPr>
    </w:lvl>
  </w:abstractNum>
  <w:abstractNum w:abstractNumId="6">
    <w:nsid w:val="5FD104AE"/>
    <w:multiLevelType w:val="singleLevel"/>
    <w:tmpl w:val="5FD104AE"/>
    <w:lvl w:ilvl="0" w:tentative="0">
      <w:start w:val="2"/>
      <w:numFmt w:val="chineseCounting"/>
      <w:suff w:val="nothing"/>
      <w:lvlText w:val="（%1）"/>
      <w:lvlJc w:val="left"/>
      <w:rPr>
        <w:rFonts w:hint="eastAsia"/>
      </w:rPr>
    </w:lvl>
  </w:abstractNum>
  <w:num w:numId="1">
    <w:abstractNumId w:val="5"/>
  </w:num>
  <w:num w:numId="2">
    <w:abstractNumId w:val="6"/>
  </w:num>
  <w:num w:numId="3">
    <w:abstractNumId w:val="1"/>
  </w:num>
  <w:num w:numId="4">
    <w:abstractNumId w:val="0"/>
  </w:num>
  <w:num w:numId="5">
    <w:abstractNumId w:val="4"/>
  </w:num>
  <w:num w:numId="6">
    <w:abstractNumId w:val="3"/>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ZiNGEyYWExYjEyZWU1ZjBiMjU1MjQ0ZTRkMmQ0YWMifQ=="/>
  </w:docVars>
  <w:rsids>
    <w:rsidRoot w:val="49B00420"/>
    <w:rsid w:val="14406F4A"/>
    <w:rsid w:val="18382F18"/>
    <w:rsid w:val="2192045B"/>
    <w:rsid w:val="232B6651"/>
    <w:rsid w:val="33031D49"/>
    <w:rsid w:val="335B6563"/>
    <w:rsid w:val="385B3C8C"/>
    <w:rsid w:val="3ACA686A"/>
    <w:rsid w:val="49B00420"/>
    <w:rsid w:val="50B20F03"/>
    <w:rsid w:val="5DB01059"/>
    <w:rsid w:val="60A22FE3"/>
    <w:rsid w:val="7E881F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kern w:val="0"/>
      <w:sz w:val="18"/>
      <w:szCs w:val="18"/>
    </w:rPr>
  </w:style>
  <w:style w:type="character" w:customStyle="1" w:styleId="5">
    <w:name w:val="page number"/>
    <w:qFormat/>
    <w:uiPriority w:val="0"/>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10</Pages>
  <Words>6068</Words>
  <Characters>6580</Characters>
  <Lines>0</Lines>
  <Paragraphs>0</Paragraphs>
  <TotalTime>10</TotalTime>
  <ScaleCrop>false</ScaleCrop>
  <LinksUpToDate>false</LinksUpToDate>
  <CharactersWithSpaces>6927</CharactersWithSpaces>
  <Application>WPS Office_11.1.0.11753_F1E327BC-269C-435d-A152-05C5408002CA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2022-08-04T02:29:00Z</dcterms:created>
  <dc:creator>Administrator</dc:creator>
  <cp:lastModifiedBy>Administrator</cp:lastModifiedBy>
  <cp:lastPrinted>2022-08-15T01:53:12Z</cp:lastPrinted>
  <dcterms:modified xsi:type="dcterms:W3CDTF">2022-08-15T02:05:30Z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2052-11.1.0.11753</vt:lpwstr>
  </property>
  <property fmtid="{D5CDD505-2E9C-101B-9397-08002B2CF9AE}" pid="3" name="ICV">
    <vt:lpwstr>675B19B7528D4EF396F0B262D552F104</vt:lpwstr>
  </property>
</Properties>
</file>