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eastAsia="方正小标宋简体"/>
          <w:bCs/>
          <w:sz w:val="46"/>
          <w:szCs w:val="46"/>
        </w:rPr>
      </w:pPr>
    </w:p>
    <w:p>
      <w:pPr>
        <w:spacing w:line="800" w:lineRule="exact"/>
        <w:jc w:val="center"/>
        <w:rPr>
          <w:rFonts w:eastAsia="方正小标宋简体"/>
          <w:bCs/>
          <w:sz w:val="46"/>
          <w:szCs w:val="46"/>
        </w:rPr>
      </w:pPr>
    </w:p>
    <w:p>
      <w:pPr>
        <w:spacing w:line="800" w:lineRule="exact"/>
        <w:jc w:val="center"/>
        <w:rPr>
          <w:rFonts w:eastAsia="方正小标宋简体"/>
          <w:bCs/>
          <w:sz w:val="46"/>
          <w:szCs w:val="46"/>
        </w:rPr>
      </w:pPr>
    </w:p>
    <w:p>
      <w:pPr>
        <w:spacing w:line="800" w:lineRule="exact"/>
        <w:jc w:val="center"/>
        <w:rPr>
          <w:rFonts w:eastAsia="方正小标宋简体"/>
          <w:bCs/>
          <w:sz w:val="46"/>
          <w:szCs w:val="46"/>
        </w:rPr>
      </w:pPr>
      <w:r>
        <w:rPr>
          <w:rFonts w:hint="eastAsia" w:eastAsia="方正小标宋简体"/>
          <w:bCs/>
          <w:sz w:val="46"/>
          <w:szCs w:val="46"/>
        </w:rPr>
        <w:t>君山区20</w:t>
      </w:r>
      <w:r>
        <w:rPr>
          <w:rFonts w:hint="eastAsia" w:eastAsia="方正小标宋简体"/>
          <w:bCs/>
          <w:sz w:val="46"/>
          <w:szCs w:val="46"/>
          <w:u w:val="single"/>
        </w:rPr>
        <w:t>2</w:t>
      </w:r>
      <w:r>
        <w:rPr>
          <w:rFonts w:hint="eastAsia" w:eastAsia="方正小标宋简体"/>
          <w:bCs/>
          <w:sz w:val="46"/>
          <w:szCs w:val="46"/>
          <w:u w:val="single"/>
          <w:lang w:val="en-US" w:eastAsia="zh-CN"/>
        </w:rPr>
        <w:t>1</w:t>
      </w:r>
      <w:r>
        <w:rPr>
          <w:rFonts w:hint="eastAsia" w:eastAsia="方正小标宋简体"/>
          <w:bCs/>
          <w:sz w:val="46"/>
          <w:szCs w:val="46"/>
        </w:rPr>
        <w:t>年度部门（单位）整体支出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80"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君山区农村经营服务站                           </w:t>
      </w:r>
    </w:p>
    <w:p>
      <w:pPr>
        <w:spacing w:beforeLines="50" w:line="348" w:lineRule="auto"/>
        <w:ind w:firstLine="480"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145                  </w:t>
      </w:r>
    </w:p>
    <w:p>
      <w:pPr>
        <w:spacing w:beforeLines="50" w:line="348" w:lineRule="auto"/>
        <w:ind w:firstLine="480"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80" w:firstLineChars="150"/>
        <w:rPr>
          <w:rFonts w:eastAsia="仿宋_GB2312"/>
          <w:sz w:val="32"/>
          <w:szCs w:val="32"/>
        </w:rPr>
      </w:pPr>
      <w:r>
        <w:rPr>
          <w:rFonts w:hint="eastAsia" w:eastAsia="仿宋_GB2312"/>
          <w:sz w:val="32"/>
          <w:szCs w:val="32"/>
        </w:rPr>
        <w:t xml:space="preserve">评价机构：部门（单位）评价组   </w:t>
      </w:r>
    </w:p>
    <w:p>
      <w:pPr>
        <w:spacing w:line="348" w:lineRule="auto"/>
        <w:ind w:firstLine="2208" w:firstLineChars="690"/>
        <w:rPr>
          <w:rFonts w:eastAsia="仿宋_GB2312"/>
          <w:sz w:val="32"/>
        </w:rPr>
      </w:pPr>
      <w:bookmarkStart w:id="0" w:name="_GoBack"/>
      <w:bookmarkEnd w:id="0"/>
    </w:p>
    <w:p>
      <w:pPr>
        <w:spacing w:line="348" w:lineRule="auto"/>
        <w:ind w:firstLine="2208" w:firstLineChars="690"/>
        <w:rPr>
          <w:rFonts w:eastAsia="仿宋_GB2312"/>
          <w:sz w:val="32"/>
        </w:rPr>
      </w:pPr>
    </w:p>
    <w:p>
      <w:pPr>
        <w:spacing w:line="348" w:lineRule="auto"/>
        <w:ind w:firstLine="2208" w:firstLineChars="690"/>
        <w:rPr>
          <w:rFonts w:eastAsia="仿宋_GB2312"/>
          <w:sz w:val="32"/>
        </w:rPr>
      </w:pPr>
    </w:p>
    <w:p>
      <w:pPr>
        <w:spacing w:line="348" w:lineRule="auto"/>
        <w:ind w:firstLine="2208" w:firstLineChars="690"/>
        <w:rPr>
          <w:rFonts w:eastAsia="仿宋_GB2312"/>
          <w:sz w:val="32"/>
        </w:rPr>
      </w:pPr>
    </w:p>
    <w:p>
      <w:pPr>
        <w:spacing w:line="348" w:lineRule="auto"/>
        <w:ind w:firstLine="1920" w:firstLineChars="600"/>
        <w:rPr>
          <w:rFonts w:eastAsia="仿宋_GB2312"/>
          <w:sz w:val="32"/>
        </w:rPr>
      </w:pPr>
      <w:r>
        <w:rPr>
          <w:rFonts w:hint="eastAsia" w:eastAsia="仿宋_GB2312"/>
          <w:sz w:val="32"/>
        </w:rPr>
        <w:t>报告日期：202</w:t>
      </w:r>
      <w:r>
        <w:rPr>
          <w:rFonts w:hint="eastAsia" w:eastAsia="仿宋_GB2312"/>
          <w:sz w:val="32"/>
          <w:lang w:val="en-US" w:eastAsia="zh-CN"/>
        </w:rPr>
        <w:t>2</w:t>
      </w:r>
      <w:r>
        <w:rPr>
          <w:rFonts w:hint="eastAsia" w:eastAsia="仿宋_GB2312"/>
          <w:sz w:val="32"/>
        </w:rPr>
        <w:t>年08 月08日</w:t>
      </w:r>
    </w:p>
    <w:p>
      <w:pPr>
        <w:autoSpaceDN w:val="0"/>
        <w:jc w:val="center"/>
        <w:textAlignment w:val="center"/>
        <w:rPr>
          <w:rFonts w:eastAsia="仿宋_GB2312"/>
          <w:sz w:val="32"/>
          <w:szCs w:val="32"/>
        </w:rPr>
      </w:pPr>
      <w:r>
        <w:rPr>
          <w:rFonts w:hint="eastAsia" w:eastAsia="仿宋_GB2312"/>
          <w:sz w:val="32"/>
        </w:rPr>
        <w:t>君山区财政</w:t>
      </w:r>
      <w:r>
        <w:rPr>
          <w:rFonts w:hint="eastAsia" w:eastAsia="仿宋_GB2312"/>
          <w:sz w:val="32"/>
          <w:szCs w:val="32"/>
        </w:rPr>
        <w:t>局（制）</w:t>
      </w:r>
    </w:p>
    <w:p>
      <w:pPr>
        <w:autoSpaceDN w:val="0"/>
        <w:jc w:val="center"/>
        <w:textAlignment w:val="center"/>
        <w:rPr>
          <w:rFonts w:eastAsia="仿宋_GB2312"/>
          <w:sz w:val="32"/>
          <w:szCs w:val="32"/>
          <w:u w:val="single"/>
        </w:rPr>
      </w:pPr>
    </w:p>
    <w:p>
      <w:pPr>
        <w:autoSpaceDN w:val="0"/>
        <w:jc w:val="center"/>
        <w:textAlignment w:val="center"/>
        <w:rPr>
          <w:rFonts w:eastAsia="仿宋_GB2312"/>
          <w:sz w:val="32"/>
          <w:szCs w:val="32"/>
          <w:u w:val="single"/>
        </w:rPr>
      </w:pP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陈劲</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139674060862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华文仿宋" w:hAnsi="华文仿宋" w:eastAsia="华文仿宋"/>
                <w:sz w:val="28"/>
                <w:szCs w:val="28"/>
              </w:rPr>
              <w:t>主要负责农村土地管理、国有农用地管理、农村村级财务管理、农民负担监督管理、农民专业合作社、农垦事务协调、农村党风廉政建设以及农村财务管理三资平台建设等工作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ascii="仿宋" w:hAnsi="仿宋" w:eastAsia="仿宋" w:cs="仿宋_GB2312"/>
                <w:color w:val="000000"/>
                <w:sz w:val="24"/>
              </w:rPr>
            </w:pPr>
            <w:r>
              <w:rPr>
                <w:rFonts w:hint="eastAsia" w:ascii="仿宋" w:hAnsi="仿宋" w:eastAsia="仿宋" w:cs="仿宋_GB2312"/>
                <w:color w:val="000000"/>
                <w:sz w:val="24"/>
              </w:rPr>
              <w:t>任务1：加大对农民专业合作社、家庭农场建设及发展壮大村级集体经济的扶持力度。</w:t>
            </w:r>
          </w:p>
          <w:p>
            <w:pPr>
              <w:autoSpaceDN w:val="0"/>
              <w:spacing w:line="400" w:lineRule="exact"/>
              <w:jc w:val="left"/>
              <w:textAlignment w:val="center"/>
              <w:rPr>
                <w:rFonts w:ascii="仿宋" w:hAnsi="仿宋" w:eastAsia="仿宋" w:cs="仿宋_GB2312"/>
                <w:color w:val="000000"/>
                <w:sz w:val="24"/>
              </w:rPr>
            </w:pPr>
            <w:r>
              <w:rPr>
                <w:rFonts w:hint="eastAsia" w:ascii="仿宋" w:hAnsi="仿宋" w:eastAsia="仿宋" w:cs="仿宋_GB2312"/>
                <w:color w:val="000000"/>
                <w:sz w:val="24"/>
              </w:rPr>
              <w:t>任务2：加大农民负担监管力度；加强农村集体经济组织财务管理和审计指导工作，组织实施村级换届审计和减负检查。</w:t>
            </w:r>
          </w:p>
          <w:p>
            <w:pPr>
              <w:autoSpaceDN w:val="0"/>
              <w:spacing w:line="320" w:lineRule="exact"/>
              <w:jc w:val="left"/>
              <w:textAlignment w:val="center"/>
              <w:rPr>
                <w:rFonts w:ascii="仿宋" w:hAnsi="仿宋" w:eastAsia="仿宋" w:cs="仿宋_GB2312"/>
                <w:color w:val="000000"/>
                <w:sz w:val="24"/>
              </w:rPr>
            </w:pPr>
            <w:r>
              <w:rPr>
                <w:rFonts w:hint="eastAsia" w:ascii="仿宋" w:hAnsi="仿宋" w:eastAsia="仿宋" w:cs="仿宋_GB2312"/>
                <w:color w:val="000000"/>
                <w:sz w:val="24"/>
              </w:rPr>
              <w:t>任务3：加强土地流转、农村宅基地和农垦住宅用地管理；</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_GB2312"/>
                <w:sz w:val="24"/>
              </w:rPr>
              <w:t>今年来，农经站围绕区委、区政府年初下达的工作目标任务，真抓实干、开拓创新，农经、农垦工作取得明显成效。完成了全区国有农用地土地确权登记颁证和全区经营田经营现状调查工作；积极开展农村集体“三资”与财务管理工作，组织实施了全区的村级换届审计和农村集体产权制度改革工作；大力推进农民专业合作组织建设和发展壮大村级集体经济、开展全区农民减负大检查工作。圆满完成区委、区政府交办的为民办实事项目，受到上级相关部门领导的一致好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1,678.93</w:t>
            </w:r>
          </w:p>
        </w:tc>
        <w:tc>
          <w:tcPr>
            <w:tcW w:w="1355" w:type="dxa"/>
            <w:gridSpan w:val="2"/>
            <w:tcBorders>
              <w:lef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386.12</w:t>
            </w:r>
          </w:p>
        </w:tc>
        <w:tc>
          <w:tcPr>
            <w:tcW w:w="1080" w:type="dxa"/>
            <w:gridSpan w:val="2"/>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1,292.81</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1,678.93</w:t>
            </w:r>
          </w:p>
        </w:tc>
        <w:tc>
          <w:tcPr>
            <w:tcW w:w="1355" w:type="dxa"/>
            <w:gridSpan w:val="2"/>
            <w:tcBorders>
              <w:lef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386.12</w:t>
            </w:r>
          </w:p>
        </w:tc>
        <w:tc>
          <w:tcPr>
            <w:tcW w:w="1080" w:type="dxa"/>
            <w:gridSpan w:val="2"/>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1,292.81</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1,678.93</w:t>
            </w:r>
          </w:p>
        </w:tc>
        <w:tc>
          <w:tcPr>
            <w:tcW w:w="1355" w:type="dxa"/>
            <w:gridSpan w:val="2"/>
            <w:tcBorders>
              <w:lef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323.19</w:t>
            </w:r>
          </w:p>
        </w:tc>
        <w:tc>
          <w:tcPr>
            <w:tcW w:w="1080" w:type="dxa"/>
            <w:gridSpan w:val="2"/>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239.41</w:t>
            </w:r>
          </w:p>
        </w:tc>
        <w:tc>
          <w:tcPr>
            <w:tcW w:w="2160" w:type="dxa"/>
            <w:gridSpan w:val="4"/>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83.78</w:t>
            </w:r>
          </w:p>
        </w:tc>
        <w:tc>
          <w:tcPr>
            <w:tcW w:w="1080" w:type="dxa"/>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1,355.74</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widowControl/>
              <w:jc w:val="right"/>
              <w:textAlignment w:val="center"/>
              <w:rPr>
                <w:rFonts w:ascii="仿宋_GB2312" w:hAnsi="仿宋_GB2312" w:eastAsia="仿宋_GB2312" w:cs="仿宋_GB2312"/>
                <w:color w:val="000000"/>
                <w:sz w:val="24"/>
              </w:rPr>
            </w:pPr>
            <w:r>
              <w:rPr>
                <w:rFonts w:hint="eastAsia" w:ascii="宋体" w:hAnsi="宋体" w:cs="宋体"/>
                <w:color w:val="000000"/>
                <w:kern w:val="0"/>
                <w:sz w:val="22"/>
              </w:rPr>
              <w:t>1,678.93</w:t>
            </w:r>
          </w:p>
        </w:tc>
        <w:tc>
          <w:tcPr>
            <w:tcW w:w="1355" w:type="dxa"/>
            <w:gridSpan w:val="2"/>
            <w:tcBorders>
              <w:left w:val="single" w:color="auto" w:sz="4" w:space="0"/>
            </w:tcBorders>
            <w:vAlign w:val="center"/>
          </w:tcPr>
          <w:p>
            <w:pPr>
              <w:widowControl/>
              <w:jc w:val="right"/>
              <w:textAlignment w:val="center"/>
              <w:rPr>
                <w:rFonts w:ascii="仿宋_GB2312" w:hAnsi="仿宋_GB2312" w:eastAsia="仿宋_GB2312" w:cs="仿宋_GB2312"/>
                <w:color w:val="000000"/>
                <w:sz w:val="24"/>
              </w:rPr>
            </w:pPr>
            <w:r>
              <w:rPr>
                <w:rFonts w:hint="eastAsia" w:ascii="宋体" w:hAnsi="宋体" w:cs="宋体"/>
                <w:color w:val="000000"/>
                <w:kern w:val="0"/>
                <w:sz w:val="22"/>
              </w:rPr>
              <w:t>323.19</w:t>
            </w:r>
          </w:p>
        </w:tc>
        <w:tc>
          <w:tcPr>
            <w:tcW w:w="1080" w:type="dxa"/>
            <w:gridSpan w:val="2"/>
            <w:vAlign w:val="center"/>
          </w:tcPr>
          <w:p>
            <w:pPr>
              <w:widowControl/>
              <w:jc w:val="right"/>
              <w:textAlignment w:val="center"/>
              <w:rPr>
                <w:rFonts w:ascii="仿宋_GB2312" w:hAnsi="仿宋_GB2312" w:eastAsia="仿宋_GB2312" w:cs="仿宋_GB2312"/>
                <w:color w:val="000000"/>
                <w:sz w:val="24"/>
              </w:rPr>
            </w:pPr>
            <w:r>
              <w:rPr>
                <w:rFonts w:hint="eastAsia" w:ascii="宋体" w:hAnsi="宋体" w:cs="宋体"/>
                <w:color w:val="000000"/>
                <w:kern w:val="0"/>
                <w:sz w:val="22"/>
              </w:rPr>
              <w:t>239.41</w:t>
            </w:r>
          </w:p>
        </w:tc>
        <w:tc>
          <w:tcPr>
            <w:tcW w:w="2160" w:type="dxa"/>
            <w:gridSpan w:val="4"/>
            <w:vAlign w:val="center"/>
          </w:tcPr>
          <w:p>
            <w:pPr>
              <w:widowControl/>
              <w:jc w:val="right"/>
              <w:textAlignment w:val="center"/>
              <w:rPr>
                <w:rFonts w:ascii="仿宋_GB2312" w:hAnsi="仿宋_GB2312" w:eastAsia="仿宋_GB2312" w:cs="仿宋_GB2312"/>
                <w:color w:val="000000"/>
                <w:sz w:val="24"/>
              </w:rPr>
            </w:pPr>
            <w:r>
              <w:rPr>
                <w:rFonts w:hint="eastAsia" w:ascii="宋体" w:hAnsi="宋体" w:cs="宋体"/>
                <w:color w:val="000000"/>
                <w:kern w:val="0"/>
                <w:sz w:val="22"/>
              </w:rPr>
              <w:t>83.78</w:t>
            </w:r>
          </w:p>
        </w:tc>
        <w:tc>
          <w:tcPr>
            <w:tcW w:w="1080" w:type="dxa"/>
            <w:vAlign w:val="center"/>
          </w:tcPr>
          <w:p>
            <w:pPr>
              <w:widowControl/>
              <w:jc w:val="right"/>
              <w:textAlignment w:val="center"/>
              <w:rPr>
                <w:rFonts w:ascii="仿宋_GB2312" w:hAnsi="仿宋_GB2312" w:eastAsia="仿宋_GB2312" w:cs="仿宋_GB2312"/>
                <w:color w:val="000000"/>
                <w:sz w:val="24"/>
              </w:rPr>
            </w:pPr>
            <w:r>
              <w:rPr>
                <w:rFonts w:hint="eastAsia" w:ascii="宋体" w:hAnsi="宋体" w:cs="宋体"/>
                <w:color w:val="000000"/>
                <w:kern w:val="0"/>
                <w:sz w:val="22"/>
              </w:rPr>
              <w:t>1,355.74</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2.70</w:t>
            </w:r>
          </w:p>
        </w:tc>
        <w:tc>
          <w:tcPr>
            <w:tcW w:w="1355" w:type="dxa"/>
            <w:gridSpan w:val="2"/>
            <w:tcBorders>
              <w:lef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2.70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widowControl/>
              <w:jc w:val="right"/>
              <w:textAlignment w:val="center"/>
              <w:rPr>
                <w:rFonts w:ascii="仿宋_GB2312" w:hAnsi="仿宋_GB2312" w:eastAsia="仿宋_GB2312" w:cs="仿宋_GB2312"/>
                <w:color w:val="000000"/>
                <w:sz w:val="24"/>
              </w:rPr>
            </w:pPr>
            <w:r>
              <w:rPr>
                <w:rFonts w:hint="eastAsia" w:ascii="宋体" w:hAnsi="宋体" w:cs="宋体"/>
                <w:color w:val="000000"/>
                <w:kern w:val="0"/>
                <w:sz w:val="22"/>
              </w:rPr>
              <w:t>2.70</w:t>
            </w:r>
          </w:p>
        </w:tc>
        <w:tc>
          <w:tcPr>
            <w:tcW w:w="1355" w:type="dxa"/>
            <w:gridSpan w:val="2"/>
            <w:tcBorders>
              <w:left w:val="single" w:color="auto" w:sz="4" w:space="0"/>
            </w:tcBorders>
            <w:vAlign w:val="center"/>
          </w:tcPr>
          <w:p>
            <w:pPr>
              <w:widowControl/>
              <w:jc w:val="right"/>
              <w:textAlignment w:val="center"/>
              <w:rPr>
                <w:rFonts w:ascii="仿宋_GB2312" w:hAnsi="仿宋_GB2312" w:eastAsia="仿宋_GB2312" w:cs="仿宋_GB2312"/>
                <w:color w:val="000000"/>
                <w:sz w:val="24"/>
              </w:rPr>
            </w:pPr>
            <w:r>
              <w:rPr>
                <w:rFonts w:hint="eastAsia" w:ascii="宋体" w:hAnsi="宋体" w:cs="宋体"/>
                <w:color w:val="000000"/>
                <w:kern w:val="0"/>
                <w:sz w:val="22"/>
              </w:rPr>
              <w:t>2.70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9"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439.85</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439.85</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9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439.85</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439.85</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79"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400" w:lineRule="exact"/>
              <w:jc w:val="left"/>
              <w:textAlignment w:val="center"/>
              <w:rPr>
                <w:rFonts w:ascii="仿宋" w:hAnsi="仿宋" w:eastAsia="仿宋" w:cs="仿宋_GB2312"/>
                <w:color w:val="000000"/>
                <w:szCs w:val="21"/>
              </w:rPr>
            </w:pPr>
            <w:r>
              <w:rPr>
                <w:rFonts w:hint="eastAsia" w:ascii="仿宋" w:hAnsi="仿宋" w:eastAsia="仿宋" w:cs="仿宋_GB2312"/>
                <w:color w:val="000000"/>
                <w:szCs w:val="21"/>
              </w:rPr>
              <w:t>目标1：加大对农民专业合作社和发展壮大村级集体经济的扶持力度。</w:t>
            </w:r>
          </w:p>
          <w:p>
            <w:pPr>
              <w:autoSpaceDN w:val="0"/>
              <w:spacing w:line="320" w:lineRule="exact"/>
              <w:jc w:val="left"/>
              <w:textAlignment w:val="center"/>
              <w:rPr>
                <w:rFonts w:ascii="仿宋" w:hAnsi="仿宋" w:eastAsia="仿宋" w:cs="仿宋_GB2312"/>
                <w:color w:val="000000"/>
                <w:szCs w:val="21"/>
              </w:rPr>
            </w:pPr>
            <w:r>
              <w:rPr>
                <w:rFonts w:hint="eastAsia" w:ascii="仿宋" w:hAnsi="仿宋" w:eastAsia="仿宋" w:cs="仿宋_GB2312"/>
                <w:color w:val="000000"/>
                <w:szCs w:val="21"/>
              </w:rPr>
              <w:t>目标2：组织实施村级换届审计和减负工作检查。</w:t>
            </w:r>
          </w:p>
          <w:p>
            <w:pPr>
              <w:autoSpaceDN w:val="0"/>
              <w:spacing w:line="320" w:lineRule="exact"/>
              <w:jc w:val="left"/>
              <w:textAlignment w:val="center"/>
              <w:rPr>
                <w:rFonts w:ascii="仿宋" w:hAnsi="仿宋" w:eastAsia="仿宋" w:cs="仿宋_GB2312"/>
                <w:color w:val="000000"/>
                <w:szCs w:val="21"/>
              </w:rPr>
            </w:pPr>
            <w:r>
              <w:rPr>
                <w:rFonts w:hint="eastAsia" w:ascii="仿宋" w:hAnsi="仿宋" w:eastAsia="仿宋" w:cs="仿宋_GB2312"/>
                <w:color w:val="000000"/>
                <w:szCs w:val="21"/>
              </w:rPr>
              <w:t>目标3：组织开展全区农村集体产权制度改革。</w:t>
            </w:r>
          </w:p>
          <w:p>
            <w:pPr>
              <w:autoSpaceDN w:val="0"/>
              <w:spacing w:line="320" w:lineRule="exact"/>
              <w:jc w:val="left"/>
              <w:textAlignment w:val="center"/>
              <w:rPr>
                <w:rFonts w:ascii="仿宋" w:hAnsi="仿宋" w:eastAsia="仿宋" w:cs="仿宋_GB2312"/>
                <w:color w:val="000000"/>
                <w:szCs w:val="21"/>
              </w:rPr>
            </w:pPr>
            <w:r>
              <w:rPr>
                <w:rFonts w:hint="eastAsia" w:ascii="仿宋" w:hAnsi="仿宋" w:eastAsia="仿宋" w:cs="仿宋_GB2312"/>
                <w:color w:val="000000"/>
                <w:szCs w:val="21"/>
              </w:rPr>
              <w:t>目标4：加大宅基地和农垦住宅用地巡查管理力度。</w:t>
            </w:r>
          </w:p>
        </w:tc>
        <w:tc>
          <w:tcPr>
            <w:tcW w:w="4585" w:type="dxa"/>
            <w:gridSpan w:val="9"/>
            <w:vAlign w:val="center"/>
          </w:tcPr>
          <w:p>
            <w:pPr>
              <w:autoSpaceDN w:val="0"/>
              <w:spacing w:line="400" w:lineRule="exact"/>
              <w:jc w:val="left"/>
              <w:textAlignment w:val="center"/>
              <w:rPr>
                <w:rFonts w:ascii="仿宋" w:hAnsi="仿宋" w:eastAsia="仿宋" w:cs="仿宋_GB2312"/>
                <w:bCs/>
                <w:color w:val="000000"/>
                <w:szCs w:val="21"/>
              </w:rPr>
            </w:pPr>
            <w:r>
              <w:rPr>
                <w:rFonts w:hint="eastAsia" w:ascii="仿宋" w:hAnsi="仿宋" w:eastAsia="仿宋" w:cs="仿宋_GB2312"/>
                <w:color w:val="000000"/>
                <w:szCs w:val="21"/>
              </w:rPr>
              <w:t>任务1：</w:t>
            </w:r>
            <w:r>
              <w:rPr>
                <w:rFonts w:hint="eastAsia" w:ascii="仿宋" w:hAnsi="仿宋" w:eastAsia="仿宋" w:cs="仿宋_GB2312"/>
                <w:bCs/>
                <w:color w:val="000000"/>
                <w:szCs w:val="21"/>
              </w:rPr>
              <w:t>对8家农民专业合作社、7家家庭农场以及11个村下拨了扶持资金。</w:t>
            </w:r>
          </w:p>
          <w:p>
            <w:pPr>
              <w:autoSpaceDN w:val="0"/>
              <w:spacing w:line="320" w:lineRule="exact"/>
              <w:jc w:val="left"/>
              <w:textAlignment w:val="center"/>
              <w:rPr>
                <w:rFonts w:ascii="仿宋" w:hAnsi="仿宋" w:eastAsia="仿宋" w:cs="仿宋_GB2312"/>
                <w:bCs/>
                <w:color w:val="000000"/>
                <w:szCs w:val="21"/>
              </w:rPr>
            </w:pPr>
            <w:r>
              <w:rPr>
                <w:rFonts w:hint="eastAsia" w:ascii="仿宋" w:hAnsi="仿宋" w:eastAsia="仿宋" w:cs="仿宋_GB2312"/>
                <w:bCs/>
                <w:color w:val="000000"/>
                <w:szCs w:val="21"/>
              </w:rPr>
              <w:t>任务2：完成了村级换届审计工作，开展全区内的减负工作检查。</w:t>
            </w:r>
          </w:p>
          <w:p>
            <w:pPr>
              <w:autoSpaceDN w:val="0"/>
              <w:spacing w:line="320" w:lineRule="exact"/>
              <w:jc w:val="center"/>
              <w:textAlignment w:val="center"/>
              <w:rPr>
                <w:rFonts w:ascii="仿宋" w:hAnsi="仿宋" w:eastAsia="仿宋" w:cs="仿宋_GB2312"/>
                <w:bCs/>
                <w:color w:val="000000"/>
                <w:szCs w:val="21"/>
              </w:rPr>
            </w:pPr>
            <w:r>
              <w:rPr>
                <w:rFonts w:hint="eastAsia" w:ascii="仿宋" w:hAnsi="仿宋" w:eastAsia="仿宋" w:cs="仿宋_GB2312"/>
                <w:bCs/>
                <w:color w:val="000000"/>
                <w:szCs w:val="21"/>
              </w:rPr>
              <w:t>任务3：完成了农村产权制度改革的清产核资工作。</w:t>
            </w:r>
          </w:p>
          <w:p>
            <w:pPr>
              <w:autoSpaceDN w:val="0"/>
              <w:spacing w:line="320" w:lineRule="exact"/>
              <w:jc w:val="left"/>
              <w:textAlignment w:val="center"/>
              <w:rPr>
                <w:rFonts w:ascii="仿宋" w:hAnsi="仿宋" w:eastAsia="仿宋" w:cs="仿宋_GB2312"/>
                <w:bCs/>
                <w:color w:val="000000"/>
                <w:szCs w:val="21"/>
              </w:rPr>
            </w:pPr>
            <w:r>
              <w:rPr>
                <w:rFonts w:hint="eastAsia" w:ascii="仿宋" w:hAnsi="仿宋" w:eastAsia="仿宋" w:cs="仿宋_GB2312"/>
                <w:bCs/>
                <w:color w:val="000000"/>
                <w:szCs w:val="21"/>
              </w:rPr>
              <w:t>任务4：</w:t>
            </w:r>
            <w:r>
              <w:rPr>
                <w:rFonts w:hint="eastAsia" w:ascii="仿宋" w:hAnsi="仿宋" w:eastAsia="仿宋" w:cs="仿宋_GB2312"/>
                <w:color w:val="000000"/>
                <w:szCs w:val="21"/>
              </w:rPr>
              <w:t>加大宅基地和农垦住宅用地巡查管理力度。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2"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指标1：加大农民合作社和村集体经济扶持力度</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质量合格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指标2：完成村级换届审计和减负检查</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按要求完成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指标3：</w:t>
            </w:r>
            <w:r>
              <w:rPr>
                <w:rFonts w:hint="eastAsia" w:ascii="仿宋" w:hAnsi="仿宋" w:eastAsia="仿宋" w:cs="仿宋_GB2312"/>
                <w:color w:val="000000"/>
                <w:szCs w:val="21"/>
              </w:rPr>
              <w:t>加大宅基地和农垦住宅用地巡查管理力度</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按要求完成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指标1：</w:t>
            </w:r>
            <w:r>
              <w:rPr>
                <w:rFonts w:hint="eastAsia" w:ascii="仿宋" w:hAnsi="仿宋" w:eastAsia="仿宋" w:cs="仿宋_GB2312"/>
                <w:color w:val="000000"/>
                <w:szCs w:val="21"/>
              </w:rPr>
              <w:t>宅基地和农垦住宅用地巡查管理力度</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已按进度完成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指标2：完成全区村级换届审计</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已按进度完成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指标3：下拨各类扶持资金</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已按进度下拨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指标1：</w:t>
            </w:r>
            <w:r>
              <w:rPr>
                <w:rFonts w:hint="eastAsia" w:ascii="仿宋" w:hAnsi="仿宋" w:eastAsia="仿宋" w:cs="仿宋_GB2312"/>
                <w:bCs/>
                <w:color w:val="000000"/>
                <w:szCs w:val="21"/>
              </w:rPr>
              <w:t>完成了村级换届审计工作和减负工作检查</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已按时间节点完成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指标2：及时下拨各类专项资金</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已按时下拨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指标3：及时完成上级交办的各类任务</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及时完成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指标1：经费支出控制在预算内</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按预算执行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指标2：项目资金专款专用</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按要求执行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 w:hAnsi="仿宋" w:eastAsia="仿宋" w:cs="仿宋_GB2312"/>
                <w:color w:val="000000"/>
                <w:szCs w:val="21"/>
              </w:rPr>
            </w:pPr>
            <w:r>
              <w:rPr>
                <w:rFonts w:hint="eastAsia" w:ascii="仿宋_GB2312" w:hAnsi="仿宋_GB2312" w:eastAsia="仿宋_GB2312" w:cs="仿宋_GB2312"/>
                <w:color w:val="000000"/>
                <w:sz w:val="18"/>
                <w:szCs w:val="18"/>
              </w:rPr>
              <w:t>指标</w:t>
            </w:r>
            <w:r>
              <w:rPr>
                <w:rFonts w:hint="eastAsia" w:ascii="仿宋" w:hAnsi="仿宋" w:eastAsia="仿宋" w:cs="仿宋_GB2312"/>
                <w:color w:val="000000"/>
                <w:sz w:val="18"/>
                <w:szCs w:val="18"/>
              </w:rPr>
              <w:t>1：宅基地和农垦住宅用地巡查管理力度</w:t>
            </w:r>
          </w:p>
          <w:p>
            <w:pPr>
              <w:autoSpaceDN w:val="0"/>
              <w:spacing w:line="320" w:lineRule="exact"/>
              <w:jc w:val="left"/>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指标2：</w:t>
            </w:r>
            <w:r>
              <w:rPr>
                <w:rFonts w:hint="eastAsia" w:ascii="仿宋" w:hAnsi="仿宋" w:eastAsia="仿宋" w:cs="仿宋_GB2312"/>
                <w:color w:val="000000"/>
                <w:sz w:val="18"/>
                <w:szCs w:val="18"/>
              </w:rPr>
              <w:t>农村集体产权制度改革</w:t>
            </w:r>
          </w:p>
          <w:p>
            <w:pPr>
              <w:autoSpaceDN w:val="0"/>
              <w:spacing w:line="320" w:lineRule="exact"/>
              <w:jc w:val="left"/>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指标3：</w:t>
            </w:r>
            <w:r>
              <w:rPr>
                <w:rFonts w:hint="eastAsia" w:ascii="仿宋" w:hAnsi="仿宋" w:eastAsia="仿宋" w:cs="仿宋_GB2312"/>
                <w:color w:val="000000"/>
                <w:sz w:val="18"/>
                <w:szCs w:val="18"/>
              </w:rPr>
              <w:t>土地承包纠纷调处、农民负担监督管理和农民合作组织建设工作，得到了广泛好评</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cs="仿宋_GB2312"/>
                <w:b/>
                <w:color w:val="000000"/>
                <w:sz w:val="24"/>
              </w:rPr>
              <w:t>社会效益良好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 w:hAnsi="仿宋" w:eastAsia="仿宋" w:cs="仿宋_GB2312"/>
                <w:color w:val="000000"/>
                <w:sz w:val="18"/>
                <w:szCs w:val="18"/>
              </w:rPr>
            </w:pPr>
            <w:r>
              <w:rPr>
                <w:rFonts w:hint="eastAsia" w:ascii="仿宋_GB2312" w:hAnsi="仿宋_GB2312" w:eastAsia="仿宋_GB2312" w:cs="仿宋_GB2312"/>
                <w:color w:val="000000"/>
                <w:sz w:val="18"/>
                <w:szCs w:val="18"/>
              </w:rPr>
              <w:t>指标1：</w:t>
            </w:r>
            <w:r>
              <w:rPr>
                <w:rFonts w:hint="eastAsia" w:ascii="仿宋" w:hAnsi="仿宋" w:eastAsia="仿宋" w:cs="仿宋_GB2312"/>
                <w:color w:val="000000"/>
                <w:sz w:val="18"/>
                <w:szCs w:val="18"/>
              </w:rPr>
              <w:t>对农民专业合作社和发展壮大村级集体经济的扶持力度</w:t>
            </w:r>
          </w:p>
          <w:p>
            <w:pPr>
              <w:autoSpaceDN w:val="0"/>
              <w:spacing w:line="320" w:lineRule="exact"/>
              <w:jc w:val="left"/>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指标2：</w:t>
            </w:r>
            <w:r>
              <w:rPr>
                <w:rFonts w:hint="eastAsia" w:ascii="仿宋" w:hAnsi="仿宋" w:eastAsia="仿宋" w:cs="仿宋_GB2312"/>
                <w:color w:val="000000"/>
                <w:sz w:val="18"/>
                <w:szCs w:val="18"/>
              </w:rPr>
              <w:t>完成了集体土地和国有农用地确权登记发证工作</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促进了村集体增收，农民增收和农民权益得到保障;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指标1：农业资源合理开发、利用和保护</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生态效益良好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指群众满意度95%以上</w:t>
            </w:r>
          </w:p>
          <w:p>
            <w:pPr>
              <w:autoSpaceDN w:val="0"/>
              <w:spacing w:line="320" w:lineRule="exact"/>
              <w:jc w:val="left"/>
              <w:textAlignment w:val="center"/>
              <w:rPr>
                <w:rFonts w:ascii="仿宋_GB2312" w:hAnsi="仿宋_GB2312" w:eastAsia="仿宋_GB2312" w:cs="仿宋_GB2312"/>
                <w:color w:val="000000"/>
                <w:sz w:val="18"/>
                <w:szCs w:val="18"/>
              </w:rPr>
            </w:pPr>
          </w:p>
        </w:tc>
        <w:tc>
          <w:tcPr>
            <w:tcW w:w="2684" w:type="dxa"/>
            <w:gridSpan w:val="6"/>
            <w:vAlign w:val="center"/>
          </w:tcPr>
          <w:p>
            <w:pPr>
              <w:autoSpaceDN w:val="0"/>
              <w:spacing w:line="320" w:lineRule="exact"/>
              <w:jc w:val="center"/>
              <w:textAlignment w:val="center"/>
              <w:rPr>
                <w:rFonts w:ascii="仿宋_GB2312" w:hAnsi="仿宋_GB2312" w:eastAsia="仿宋" w:cs="仿宋_GB2312"/>
                <w:b/>
                <w:color w:val="000000"/>
                <w:sz w:val="24"/>
              </w:rPr>
            </w:pPr>
            <w:r>
              <w:rPr>
                <w:rFonts w:hint="eastAsia" w:ascii="仿宋" w:hAnsi="仿宋" w:eastAsia="仿宋" w:cs="仿宋_GB2312"/>
                <w:b/>
                <w:color w:val="000000"/>
                <w:sz w:val="24"/>
              </w:rPr>
              <w:t>群众反映良好，满意度97%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陈银刚</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党组副书记、副站长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区农经站</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卢丰阅</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副站长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区农经站</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付宏彬</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党组成员、副站长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区农经站</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35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3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财政部门归口业务股室负责人（签章）：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填报人（签名）：陈劲                  联系电话：13974060862</w:t>
      </w:r>
    </w:p>
    <w:p>
      <w:pPr>
        <w:rPr>
          <w:rFonts w:eastAsia="楷体_GB2312"/>
          <w:bCs/>
          <w:sz w:val="28"/>
          <w:szCs w:val="28"/>
        </w:rPr>
      </w:pPr>
    </w:p>
    <w:p>
      <w:pPr>
        <w:widowControl/>
        <w:spacing w:line="900" w:lineRule="atLeast"/>
        <w:jc w:val="center"/>
        <w:rPr>
          <w:rFonts w:ascii="宋体" w:hAnsi="宋体" w:cs="宋体"/>
          <w:kern w:val="0"/>
          <w:sz w:val="44"/>
          <w:szCs w:val="44"/>
        </w:rPr>
      </w:pPr>
      <w:r>
        <w:rPr>
          <w:rFonts w:ascii="宋体" w:hAnsi="宋体" w:cs="宋体"/>
          <w:kern w:val="0"/>
          <w:sz w:val="44"/>
          <w:szCs w:val="44"/>
        </w:rPr>
        <w:t>20</w:t>
      </w:r>
      <w:r>
        <w:rPr>
          <w:rFonts w:hint="eastAsia" w:ascii="宋体" w:hAnsi="宋体" w:cs="宋体"/>
          <w:kern w:val="0"/>
          <w:sz w:val="44"/>
          <w:szCs w:val="44"/>
        </w:rPr>
        <w:t>20</w:t>
      </w:r>
      <w:r>
        <w:rPr>
          <w:rFonts w:ascii="宋体" w:hAnsi="宋体" w:cs="宋体"/>
          <w:kern w:val="0"/>
          <w:sz w:val="44"/>
          <w:szCs w:val="44"/>
        </w:rPr>
        <w:t>年财政资金部门整体支出绩效</w:t>
      </w:r>
    </w:p>
    <w:p>
      <w:pPr>
        <w:widowControl/>
        <w:spacing w:line="900" w:lineRule="atLeast"/>
        <w:jc w:val="center"/>
        <w:rPr>
          <w:rFonts w:ascii="宋体" w:hAnsi="宋体" w:cs="宋体"/>
          <w:kern w:val="0"/>
          <w:sz w:val="44"/>
          <w:szCs w:val="44"/>
        </w:rPr>
      </w:pPr>
      <w:r>
        <w:rPr>
          <w:rFonts w:ascii="宋体" w:hAnsi="宋体" w:cs="宋体"/>
          <w:kern w:val="0"/>
          <w:sz w:val="44"/>
          <w:szCs w:val="44"/>
        </w:rPr>
        <w:t>评价报告</w:t>
      </w:r>
    </w:p>
    <w:p>
      <w:pPr>
        <w:widowControl/>
        <w:spacing w:line="480" w:lineRule="auto"/>
        <w:ind w:firstLine="480"/>
        <w:rPr>
          <w:rFonts w:ascii="宋体" w:hAnsi="宋体" w:cs="宋体"/>
          <w:color w:val="333333"/>
          <w:kern w:val="0"/>
          <w:sz w:val="24"/>
          <w:szCs w:val="24"/>
        </w:rPr>
      </w:pPr>
    </w:p>
    <w:p>
      <w:pPr>
        <w:ind w:firstLine="800" w:firstLineChars="250"/>
        <w:rPr>
          <w:rFonts w:ascii="华文仿宋" w:hAnsi="华文仿宋" w:eastAsia="华文仿宋"/>
          <w:color w:val="auto"/>
          <w:sz w:val="32"/>
          <w:szCs w:val="32"/>
        </w:rPr>
      </w:pPr>
      <w:r>
        <w:rPr>
          <w:rFonts w:hint="eastAsia" w:ascii="华文仿宋" w:hAnsi="华文仿宋" w:eastAsia="华文仿宋"/>
          <w:sz w:val="32"/>
          <w:szCs w:val="32"/>
        </w:rPr>
        <w:t>为加强财政支出绩效管理，优化财政支出结构，逐步探索和建立科学、高效的财政支出绩效评价机制，强化财政支出绩效理念和责任意识，根据君山区财政局《关于开展2021年财政支出绩效自评工作的通知》</w:t>
      </w:r>
      <w:r>
        <w:rPr>
          <w:rFonts w:hint="eastAsia" w:ascii="华文仿宋" w:hAnsi="华文仿宋" w:eastAsia="华文仿宋"/>
          <w:color w:val="auto"/>
          <w:sz w:val="32"/>
          <w:szCs w:val="32"/>
        </w:rPr>
        <w:t>（岳君财发〔202</w:t>
      </w:r>
      <w:r>
        <w:rPr>
          <w:rFonts w:hint="eastAsia" w:ascii="华文仿宋" w:hAnsi="华文仿宋" w:eastAsia="华文仿宋"/>
          <w:color w:val="auto"/>
          <w:sz w:val="32"/>
          <w:szCs w:val="32"/>
          <w:lang w:val="en-US" w:eastAsia="zh-CN"/>
        </w:rPr>
        <w:t>1</w:t>
      </w:r>
      <w:r>
        <w:rPr>
          <w:rFonts w:hint="eastAsia" w:ascii="华文仿宋" w:hAnsi="华文仿宋" w:eastAsia="华文仿宋"/>
          <w:color w:val="auto"/>
          <w:sz w:val="32"/>
          <w:szCs w:val="32"/>
        </w:rPr>
        <w:t>〕10号）文件要求，现将我局2021年度部门整体支出绩效自评情况报告如下： </w:t>
      </w:r>
    </w:p>
    <w:p>
      <w:pPr>
        <w:ind w:firstLine="800" w:firstLineChars="250"/>
        <w:rPr>
          <w:rFonts w:ascii="华文仿宋" w:hAnsi="华文仿宋" w:eastAsia="华文仿宋"/>
          <w:sz w:val="32"/>
          <w:szCs w:val="32"/>
        </w:rPr>
      </w:pPr>
      <w:r>
        <w:rPr>
          <w:rFonts w:hint="eastAsia" w:ascii="华文仿宋" w:hAnsi="华文仿宋" w:eastAsia="华文仿宋"/>
          <w:sz w:val="32"/>
          <w:szCs w:val="32"/>
        </w:rPr>
        <w:t> 一、部门概况</w:t>
      </w:r>
    </w:p>
    <w:p>
      <w:pPr>
        <w:ind w:firstLine="800" w:firstLineChars="250"/>
        <w:rPr>
          <w:rFonts w:ascii="华文仿宋" w:hAnsi="华文仿宋" w:eastAsia="华文仿宋"/>
          <w:sz w:val="32"/>
          <w:szCs w:val="32"/>
        </w:rPr>
      </w:pPr>
      <w:r>
        <w:rPr>
          <w:rFonts w:hint="eastAsia" w:ascii="华文仿宋" w:hAnsi="华文仿宋" w:eastAsia="华文仿宋"/>
          <w:sz w:val="32"/>
          <w:szCs w:val="32"/>
        </w:rPr>
        <w:t>部门基本情况:</w:t>
      </w:r>
    </w:p>
    <w:p>
      <w:pPr>
        <w:ind w:firstLine="800" w:firstLineChars="250"/>
        <w:rPr>
          <w:rFonts w:ascii="华文仿宋" w:hAnsi="华文仿宋" w:eastAsia="华文仿宋"/>
          <w:sz w:val="32"/>
          <w:szCs w:val="32"/>
        </w:rPr>
      </w:pPr>
      <w:r>
        <w:rPr>
          <w:rFonts w:hint="eastAsia" w:ascii="华文仿宋" w:hAnsi="华文仿宋" w:eastAsia="华文仿宋"/>
          <w:sz w:val="32"/>
          <w:szCs w:val="32"/>
        </w:rPr>
        <w:t>主要职能：我站内设4个机构，3个非独立核算二级机构。主要负责农村土地管理、国有农用地管理、农村村级财务管理、农民负担监督管理、农民专业合作社、农垦事务协调、农村党风廉政建设以及农村财务管理三资平台建设等工作。</w:t>
      </w:r>
    </w:p>
    <w:p>
      <w:pPr>
        <w:ind w:firstLine="800" w:firstLineChars="250"/>
        <w:rPr>
          <w:rFonts w:ascii="华文仿宋" w:hAnsi="华文仿宋" w:eastAsia="华文仿宋"/>
          <w:sz w:val="32"/>
          <w:szCs w:val="32"/>
        </w:rPr>
      </w:pPr>
      <w:r>
        <w:rPr>
          <w:rFonts w:hint="eastAsia" w:ascii="华文仿宋" w:hAnsi="华文仿宋" w:eastAsia="华文仿宋"/>
          <w:sz w:val="32"/>
          <w:szCs w:val="32"/>
        </w:rPr>
        <w:t>人员编制情况：我站2021年年末实有人数为26人，其中：参公事业编制人员8人，事业编制人员11人，退休人员7人。</w:t>
      </w:r>
    </w:p>
    <w:p>
      <w:pPr>
        <w:ind w:firstLine="800" w:firstLineChars="250"/>
        <w:rPr>
          <w:rFonts w:ascii="华文仿宋" w:hAnsi="华文仿宋" w:eastAsia="华文仿宋"/>
          <w:sz w:val="32"/>
          <w:szCs w:val="32"/>
        </w:rPr>
      </w:pPr>
      <w:r>
        <w:rPr>
          <w:rFonts w:hint="eastAsia" w:ascii="华文仿宋" w:hAnsi="华文仿宋" w:eastAsia="华文仿宋"/>
          <w:sz w:val="32"/>
          <w:szCs w:val="32"/>
        </w:rPr>
        <w:t>2021年财政预算总收入为1292.81万元，上年结转结余386.12万元，其中：一般公共预算经费拨款1292.81万元。预算总支出1678.93万元，其中：基本支出323.19万元（工资福利支出214.53万元，一般商品和服务支出83.78万元，对个人和家庭补助24.88万元）；项目支出1355.74万元。</w:t>
      </w:r>
    </w:p>
    <w:p>
      <w:pPr>
        <w:ind w:firstLine="800" w:firstLineChars="249"/>
        <w:rPr>
          <w:rFonts w:ascii="华文仿宋" w:hAnsi="华文仿宋" w:eastAsia="华文仿宋"/>
          <w:b/>
          <w:sz w:val="32"/>
          <w:szCs w:val="32"/>
        </w:rPr>
      </w:pPr>
      <w:r>
        <w:rPr>
          <w:rFonts w:hint="eastAsia" w:ascii="华文仿宋" w:hAnsi="华文仿宋" w:eastAsia="华文仿宋"/>
          <w:b/>
          <w:sz w:val="32"/>
          <w:szCs w:val="32"/>
        </w:rPr>
        <w:t>二、整体支出情况</w:t>
      </w:r>
    </w:p>
    <w:p>
      <w:pPr>
        <w:ind w:firstLine="800" w:firstLineChars="250"/>
        <w:rPr>
          <w:rFonts w:ascii="华文仿宋" w:hAnsi="华文仿宋" w:eastAsia="华文仿宋"/>
          <w:color w:val="FF0000"/>
          <w:sz w:val="32"/>
          <w:szCs w:val="32"/>
        </w:rPr>
      </w:pPr>
      <w:r>
        <w:rPr>
          <w:rFonts w:hint="eastAsia" w:ascii="华文仿宋" w:hAnsi="华文仿宋" w:eastAsia="华文仿宋"/>
          <w:sz w:val="32"/>
          <w:szCs w:val="32"/>
        </w:rPr>
        <w:t>2021年预算收入为1292.81万元，上年结转结余386.12万元。其中：一般公共预算经费拨款1292.81万元。</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1、基本支出</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2021年共发生基本支出323.19万元，其中：</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（1）工资福利支出214.53万元，其中：基本工资76.98万元、奖金41.87万元、养老保险缴费18.86万元、医疗保险缴费9.26万元、公务员医疗补助3.7万元、其他社保缴费0.67万元、住房公积金缴费14.23万元。</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2）商品和服务支出83.78万元，其中：办公费5.23万元、印刷费5.14万元、水电费7.7万元、邮电费0.2万元、差旅费2万元、维修（护）费11.23万元、会议费1.2万元、培训费2万元、公务接待费2.7万元、工会经费19.39万元、其他交通费用8.18万元（其中：公务用车平台2.18万元，公务交通补贴6万元）、其他商品和服务支出18.81元（其中：食堂开支18.6万元，其他开支0.21万元）。</w:t>
      </w:r>
    </w:p>
    <w:p>
      <w:pPr>
        <w:rPr>
          <w:rFonts w:ascii="华文仿宋" w:hAnsi="华文仿宋" w:eastAsia="华文仿宋"/>
          <w:sz w:val="32"/>
          <w:szCs w:val="32"/>
        </w:rPr>
      </w:pPr>
      <w:r>
        <w:rPr>
          <w:rFonts w:hint="eastAsia" w:ascii="华文仿宋" w:hAnsi="华文仿宋" w:eastAsia="华文仿宋"/>
          <w:sz w:val="32"/>
          <w:szCs w:val="32"/>
        </w:rPr>
        <w:t>（3）对个人和家庭补助支出24.88万元（主要是：退休人员奖励7.1万元，对机关事业单位基本养老保险基金的补助15.38万元）。</w:t>
      </w:r>
    </w:p>
    <w:p>
      <w:pPr>
        <w:ind w:firstLine="640" w:firstLineChars="200"/>
        <w:jc w:val="left"/>
        <w:rPr>
          <w:rFonts w:ascii="华文仿宋" w:hAnsi="华文仿宋" w:eastAsia="华文仿宋"/>
          <w:sz w:val="32"/>
          <w:szCs w:val="32"/>
        </w:rPr>
      </w:pPr>
      <w:r>
        <w:rPr>
          <w:rFonts w:hint="eastAsia" w:ascii="华文仿宋" w:hAnsi="华文仿宋" w:eastAsia="华文仿宋"/>
          <w:sz w:val="32"/>
          <w:szCs w:val="32"/>
        </w:rPr>
        <w:t>2、专项支出</w:t>
      </w:r>
    </w:p>
    <w:p>
      <w:pPr>
        <w:ind w:firstLine="640" w:firstLineChars="200"/>
        <w:jc w:val="left"/>
        <w:rPr>
          <w:rFonts w:ascii="华文仿宋" w:hAnsi="华文仿宋" w:eastAsia="华文仿宋"/>
          <w:sz w:val="32"/>
          <w:szCs w:val="32"/>
        </w:rPr>
      </w:pPr>
      <w:r>
        <w:rPr>
          <w:rFonts w:hint="eastAsia" w:ascii="华文仿宋" w:hAnsi="华文仿宋" w:eastAsia="华文仿宋"/>
          <w:sz w:val="32"/>
          <w:szCs w:val="32"/>
        </w:rPr>
        <w:t>（1）2021年共拨付各类专项资金1355.74万元。具体情况如下：君山农垦国有农用地租赁费返还款876.82万元，国有农用地使用权出租收入安排支出291.04万元，农民合作社家庭农场奖补11万元，发展壮大集体经济收入资金135万元，解决全区农村集体产权制度改革工作经费20.8万元。</w:t>
      </w:r>
    </w:p>
    <w:p>
      <w:pPr>
        <w:ind w:firstLine="640" w:firstLineChars="200"/>
        <w:jc w:val="left"/>
        <w:rPr>
          <w:rFonts w:ascii="华文仿宋" w:hAnsi="华文仿宋" w:eastAsia="华文仿宋"/>
          <w:sz w:val="32"/>
          <w:szCs w:val="32"/>
        </w:rPr>
      </w:pPr>
      <w:r>
        <w:rPr>
          <w:rFonts w:hint="eastAsia" w:ascii="华文仿宋" w:hAnsi="华文仿宋" w:eastAsia="华文仿宋"/>
          <w:sz w:val="32"/>
          <w:szCs w:val="32"/>
        </w:rPr>
        <w:t>（2）上述农垦国有农用地租赁费返还款、国有农用地使用权出租收入、农民合作社及家庭农场奖补资金和发展壮大村级集体经济收入资金均已按要求支付给相关单位。农村产权制度改革经费按上级要求使用。</w:t>
      </w:r>
    </w:p>
    <w:p>
      <w:pPr>
        <w:ind w:firstLine="640" w:firstLineChars="200"/>
        <w:jc w:val="left"/>
        <w:rPr>
          <w:rFonts w:ascii="华文仿宋" w:hAnsi="华文仿宋" w:eastAsia="华文仿宋"/>
          <w:sz w:val="32"/>
          <w:szCs w:val="32"/>
        </w:rPr>
      </w:pPr>
      <w:r>
        <w:rPr>
          <w:rFonts w:hint="eastAsia" w:ascii="华文仿宋" w:hAnsi="华文仿宋" w:eastAsia="华文仿宋"/>
          <w:sz w:val="32"/>
          <w:szCs w:val="32"/>
        </w:rPr>
        <w:t>（3）为确保各类专项资金的正常使用和有效监管，我站按照资金的使用要求制订了完善的资金拨付流程，并要求各资金使用单位就资金的使用及监管作出承诺，对拨付的上述资金实施监管。</w:t>
      </w:r>
    </w:p>
    <w:p>
      <w:pPr>
        <w:ind w:firstLine="482" w:firstLineChars="150"/>
        <w:rPr>
          <w:rFonts w:ascii="华文仿宋" w:hAnsi="华文仿宋" w:eastAsia="华文仿宋"/>
          <w:b/>
          <w:sz w:val="32"/>
          <w:szCs w:val="32"/>
        </w:rPr>
      </w:pPr>
      <w:r>
        <w:rPr>
          <w:rFonts w:hint="eastAsia" w:ascii="华文仿宋" w:hAnsi="华文仿宋" w:eastAsia="华文仿宋"/>
          <w:b/>
          <w:sz w:val="32"/>
          <w:szCs w:val="32"/>
        </w:rPr>
        <w:t>三、整体支出绩效情况</w:t>
      </w:r>
    </w:p>
    <w:p>
      <w:pPr>
        <w:ind w:firstLine="480" w:firstLineChars="150"/>
        <w:rPr>
          <w:rFonts w:ascii="华文仿宋" w:hAnsi="华文仿宋" w:eastAsia="华文仿宋"/>
          <w:bCs/>
          <w:sz w:val="32"/>
          <w:szCs w:val="32"/>
        </w:rPr>
      </w:pPr>
      <w:r>
        <w:rPr>
          <w:rFonts w:hint="eastAsia" w:ascii="华文仿宋" w:hAnsi="华文仿宋" w:eastAsia="华文仿宋"/>
          <w:bCs/>
          <w:sz w:val="32"/>
          <w:szCs w:val="32"/>
        </w:rPr>
        <w:t>（1）绩效目标完成情况优良：工作完成率、工作完成及时率、质量达标率都达到了100%。</w:t>
      </w:r>
    </w:p>
    <w:p>
      <w:pPr>
        <w:ind w:firstLine="480" w:firstLineChars="150"/>
        <w:rPr>
          <w:rFonts w:ascii="华文仿宋" w:hAnsi="华文仿宋" w:eastAsia="华文仿宋"/>
          <w:bCs/>
          <w:sz w:val="32"/>
          <w:szCs w:val="32"/>
        </w:rPr>
      </w:pPr>
      <w:r>
        <w:rPr>
          <w:rFonts w:hint="eastAsia" w:ascii="华文仿宋" w:hAnsi="华文仿宋" w:eastAsia="华文仿宋"/>
          <w:bCs/>
          <w:sz w:val="32"/>
          <w:szCs w:val="32"/>
        </w:rPr>
        <w:t>（2）履职效益情况良好：1、</w:t>
      </w:r>
      <w:r>
        <w:rPr>
          <w:rFonts w:hint="eastAsia" w:ascii="华文仿宋" w:hAnsi="华文仿宋" w:eastAsia="华文仿宋"/>
          <w:sz w:val="32"/>
          <w:szCs w:val="32"/>
        </w:rPr>
        <w:t>进一步规范土地管理。一是加强了君山区土地流转服务中心职能，在原有职能基础上，增加了农村宅基地管理和农垦住宅用地管理职能。利用土地确权登记数据、图斑等数据对全区的土地流转、管理以及农村宅基地和农垦住宅用地实施有效管理；二是切实做好土地承包纠纷调处，今年来共调处了20多起土地承包信访和纠纷；</w:t>
      </w:r>
      <w:r>
        <w:rPr>
          <w:rFonts w:hint="eastAsia" w:ascii="华文仿宋" w:hAnsi="华文仿宋" w:eastAsia="华文仿宋"/>
          <w:bCs/>
          <w:sz w:val="32"/>
          <w:szCs w:val="32"/>
        </w:rPr>
        <w:t xml:space="preserve"> 2、强化村级财务和“三资”管理。一是进一步完善《君山区村级财务管理制度》（送审），实施了村居换届村级财务审计工作；督促各镇办对村级财务审计中发现的问题进行整改；二是逐步建立全区农村集体资产登记制度，按要求对农村集体资产进行监督管理。三是加快村级集体经济发展，将区级配套奖补资金列入预算，促进村级集体经济增收。3、加强农民负担监督管理工作。强化责任落实，开展监督检查。一是开展减负大检查，对查出的问题，督促整改，落实责任。二是加大宣传力度，印发《致全区农工农民的公开信》、《2020年国家主要惠农补贴及标准》的宣传资料和《农民负担与补贴监督卡》的发放。4、大力扶持农民专业合作社和家庭农场建设。今年指导新发展了58家农民合作社，创建省级、市级示范社各1家，区级示范社5家，全区注册的农民合作社达到了577家。二是新发展家庭农场11家，全区达到152家，新创省级示范家庭农场2家，市级示范家庭农场1家，区级示范家庭农场3家。5、“三公”经费方面，遵守党纪法规和财经纪律，大力提倡节约，三公经费连续下降，提高预算资金的使用效率，用有限的经费保证机关运转。</w:t>
      </w:r>
    </w:p>
    <w:p>
      <w:pPr>
        <w:ind w:firstLine="480" w:firstLineChars="150"/>
        <w:rPr>
          <w:rFonts w:ascii="华文仿宋" w:hAnsi="华文仿宋" w:eastAsia="华文仿宋"/>
          <w:bCs/>
          <w:sz w:val="32"/>
          <w:szCs w:val="32"/>
        </w:rPr>
      </w:pPr>
      <w:r>
        <w:rPr>
          <w:rFonts w:hint="eastAsia" w:ascii="华文仿宋" w:hAnsi="华文仿宋" w:eastAsia="华文仿宋"/>
          <w:bCs/>
          <w:sz w:val="32"/>
          <w:szCs w:val="32"/>
        </w:rPr>
        <w:t>（3）社会公众对本单位工作越来越满意，表现在：基本</w:t>
      </w:r>
      <w:r>
        <w:rPr>
          <w:rFonts w:hint="eastAsia" w:ascii="华文仿宋" w:hAnsi="华文仿宋" w:eastAsia="华文仿宋"/>
          <w:sz w:val="32"/>
          <w:szCs w:val="32"/>
        </w:rPr>
        <w:t>完成了国有农用地确权登记发证工作和经营田现状调查工作，全区农村集体产权制度改革工作已基本完成，目前正在做档案入馆和“回头看”，该项工作走在了全市前列。今年共发放减负宣传资料50000余份，督促整改了一批涉农案件；今年共调处土地承包纠纷20多起，没有新增一起土地仲裁纠纷案件；农民专业合作社和家庭农场建设工作都完成了全年任务，得到了上级的好评，老百姓</w:t>
      </w:r>
      <w:r>
        <w:rPr>
          <w:rFonts w:hint="eastAsia" w:ascii="华文仿宋" w:hAnsi="华文仿宋" w:eastAsia="华文仿宋"/>
          <w:bCs/>
          <w:sz w:val="32"/>
          <w:szCs w:val="32"/>
        </w:rPr>
        <w:t>非常高兴，满意度较高。</w:t>
      </w:r>
    </w:p>
    <w:p>
      <w:pPr>
        <w:ind w:firstLine="482" w:firstLineChars="150"/>
        <w:rPr>
          <w:rFonts w:ascii="华文仿宋" w:hAnsi="华文仿宋" w:eastAsia="华文仿宋"/>
          <w:b/>
          <w:sz w:val="32"/>
          <w:szCs w:val="32"/>
        </w:rPr>
      </w:pPr>
      <w:r>
        <w:rPr>
          <w:rFonts w:hint="eastAsia" w:ascii="华文仿宋" w:hAnsi="华文仿宋" w:eastAsia="华文仿宋"/>
          <w:b/>
          <w:sz w:val="32"/>
          <w:szCs w:val="32"/>
        </w:rPr>
        <w:t>四、存在的主要问题</w:t>
      </w:r>
    </w:p>
    <w:p>
      <w:pPr>
        <w:ind w:firstLine="480" w:firstLineChars="150"/>
        <w:rPr>
          <w:rFonts w:ascii="华文仿宋" w:hAnsi="华文仿宋" w:eastAsia="华文仿宋"/>
          <w:bCs/>
          <w:sz w:val="32"/>
          <w:szCs w:val="32"/>
        </w:rPr>
      </w:pPr>
      <w:r>
        <w:rPr>
          <w:rFonts w:hint="eastAsia" w:ascii="华文仿宋" w:hAnsi="华文仿宋" w:eastAsia="华文仿宋"/>
          <w:sz w:val="32"/>
          <w:szCs w:val="32"/>
        </w:rPr>
        <w:t xml:space="preserve">  </w:t>
      </w:r>
      <w:r>
        <w:rPr>
          <w:rFonts w:hint="eastAsia" w:ascii="华文仿宋" w:hAnsi="华文仿宋" w:eastAsia="华文仿宋"/>
          <w:bCs/>
          <w:sz w:val="32"/>
          <w:szCs w:val="32"/>
        </w:rPr>
        <w:t>整个年度评分100分，自评得分是98分，有2个地方扣了分：第一在预算调整率上扣1分，主要原因是预算资金不充足，预算项目不充分；第二在支付进度率上扣1分，主要原因是疫情影响，导致一些项目的实施和验收推迟，部分资金未能及时拨付。</w:t>
      </w:r>
    </w:p>
    <w:p>
      <w:pPr>
        <w:ind w:firstLine="482" w:firstLineChars="150"/>
        <w:rPr>
          <w:rFonts w:ascii="华文仿宋" w:hAnsi="华文仿宋" w:eastAsia="华文仿宋"/>
          <w:b/>
          <w:sz w:val="32"/>
          <w:szCs w:val="32"/>
        </w:rPr>
      </w:pPr>
      <w:r>
        <w:rPr>
          <w:rFonts w:hint="eastAsia" w:ascii="华文仿宋" w:hAnsi="华文仿宋" w:eastAsia="华文仿宋"/>
          <w:b/>
          <w:sz w:val="32"/>
          <w:szCs w:val="32"/>
        </w:rPr>
        <w:t>五、改进措施和有关建议</w:t>
      </w:r>
    </w:p>
    <w:p>
      <w:pPr>
        <w:ind w:firstLine="640" w:firstLineChars="200"/>
        <w:rPr>
          <w:rFonts w:ascii="华文仿宋" w:hAnsi="华文仿宋" w:eastAsia="华文仿宋"/>
          <w:bCs/>
          <w:sz w:val="32"/>
          <w:szCs w:val="32"/>
        </w:rPr>
      </w:pPr>
      <w:r>
        <w:rPr>
          <w:rFonts w:hint="eastAsia" w:ascii="华文仿宋" w:hAnsi="华文仿宋" w:eastAsia="华文仿宋"/>
          <w:bCs/>
          <w:sz w:val="32"/>
          <w:szCs w:val="32"/>
        </w:rPr>
        <w:t>1、项目支出保障水平偏低，预算执行基本围绕预算内项目进行预算，对于临时增加项目没有进行预算。建议区财政增加投入，为单位的项目实施提供有力保障。</w:t>
      </w:r>
    </w:p>
    <w:p>
      <w:pPr>
        <w:ind w:firstLine="480" w:firstLineChars="150"/>
        <w:rPr>
          <w:rFonts w:ascii="华文仿宋" w:hAnsi="华文仿宋" w:eastAsia="华文仿宋"/>
          <w:sz w:val="32"/>
          <w:szCs w:val="32"/>
        </w:rPr>
      </w:pPr>
      <w:r>
        <w:rPr>
          <w:rFonts w:hint="eastAsia" w:ascii="华文仿宋" w:hAnsi="华文仿宋" w:eastAsia="华文仿宋" w:cs="宋体"/>
          <w:color w:val="333333"/>
          <w:kern w:val="0"/>
          <w:sz w:val="32"/>
          <w:szCs w:val="32"/>
        </w:rPr>
        <w:t> </w:t>
      </w:r>
      <w:r>
        <w:rPr>
          <w:rFonts w:hint="eastAsia" w:ascii="华文仿宋" w:hAnsi="华文仿宋" w:eastAsia="华文仿宋"/>
          <w:bCs/>
          <w:sz w:val="32"/>
          <w:szCs w:val="32"/>
        </w:rPr>
        <w:t> </w:t>
      </w:r>
      <w:r>
        <w:rPr>
          <w:rFonts w:hint="eastAsia" w:ascii="华文仿宋" w:hAnsi="华文仿宋" w:eastAsia="华文仿宋"/>
          <w:sz w:val="32"/>
          <w:szCs w:val="32"/>
        </w:rPr>
        <w:t> 2、结合工作实际，完善各项规章制度和操作流程，增强制度的可操作性，严格按制度、按流程执行；加强财务管理，节约开支，使有限的经费保证单位正常运转；严格执行《中华人民共和国预算法》的有关规定，科学编制部门预算，根据批复的预算和业务需要，将预算指标细分，下达至各业务股室站点，加强支出绩效管理，将预算指标下达与支出绩效挂钩。</w:t>
      </w:r>
    </w:p>
    <w:p>
      <w:pPr>
        <w:rPr>
          <w:rFonts w:ascii="黑体" w:hAnsi="黑体" w:eastAsia="黑体"/>
          <w:sz w:val="32"/>
          <w:szCs w:val="32"/>
        </w:rPr>
      </w:pPr>
      <w:r>
        <w:rPr>
          <w:rFonts w:hint="eastAsia" w:ascii="华文仿宋" w:hAnsi="华文仿宋" w:eastAsia="华文仿宋"/>
          <w:sz w:val="32"/>
          <w:szCs w:val="32"/>
        </w:rPr>
        <w:t>   </w:t>
      </w:r>
    </w:p>
    <w:p>
      <w:pPr>
        <w:spacing w:beforeLines="100" w:afterLines="100"/>
        <w:jc w:val="center"/>
        <w:rPr>
          <w:rFonts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4"/>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预算资金不足，项目预算不充分。</w:t>
            </w:r>
          </w:p>
        </w:tc>
      </w:tr>
      <w:tr>
        <w:tblPrEx>
          <w:tblCellMar>
            <w:top w:w="0" w:type="dxa"/>
            <w:left w:w="108" w:type="dxa"/>
            <w:bottom w:w="0" w:type="dxa"/>
            <w:right w:w="108" w:type="dxa"/>
          </w:tblCellMar>
        </w:tblPrEx>
        <w:trPr>
          <w:trHeight w:val="106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5"/>
                <w:szCs w:val="15"/>
              </w:rPr>
            </w:pPr>
            <w:r>
              <w:rPr>
                <w:rFonts w:hint="eastAsia" w:ascii="华文仿宋" w:hAnsi="华文仿宋" w:eastAsia="华文仿宋"/>
                <w:bCs/>
                <w:sz w:val="15"/>
                <w:szCs w:val="15"/>
              </w:rPr>
              <w:t>因疫情影响，导致一些项目的实施和验收推迟</w:t>
            </w: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5"/>
                <w:szCs w:val="15"/>
              </w:rPr>
            </w:pPr>
            <w:r>
              <w:rPr>
                <w:rFonts w:hint="eastAsia" w:ascii="华文仿宋" w:hAnsi="华文仿宋" w:eastAsia="华文仿宋"/>
                <w:bCs/>
                <w:sz w:val="15"/>
                <w:szCs w:val="15"/>
              </w:rPr>
              <w:t>。</w:t>
            </w: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4"/>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45"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1448" w:wrap="around" w:vAnchor="text" w:hAnchor="margin" w:xAlign="outside" w:y="7"/>
      <w:rPr>
        <w:sz w:val="24"/>
      </w:rPr>
    </w:pPr>
  </w:p>
  <w:p>
    <w:pPr>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Y3MDdiNWZkZDNlZmNmMTU1ZTgxYzNlNTgyMTllZTAifQ=="/>
  </w:docVars>
  <w:rsids>
    <w:rsidRoot w:val="38220805"/>
    <w:rsid w:val="004D64D3"/>
    <w:rsid w:val="007B1AAF"/>
    <w:rsid w:val="00C04BAF"/>
    <w:rsid w:val="00C67F4F"/>
    <w:rsid w:val="01772D98"/>
    <w:rsid w:val="01B91B51"/>
    <w:rsid w:val="045A5791"/>
    <w:rsid w:val="07670688"/>
    <w:rsid w:val="07CC6BDA"/>
    <w:rsid w:val="09E65554"/>
    <w:rsid w:val="0F706100"/>
    <w:rsid w:val="20C54B7A"/>
    <w:rsid w:val="35E94EFE"/>
    <w:rsid w:val="38220805"/>
    <w:rsid w:val="3B596B6D"/>
    <w:rsid w:val="3E9817F9"/>
    <w:rsid w:val="3E9C2AAE"/>
    <w:rsid w:val="432D1021"/>
    <w:rsid w:val="4A5E1D67"/>
    <w:rsid w:val="548262FE"/>
    <w:rsid w:val="592605DE"/>
    <w:rsid w:val="59832917"/>
    <w:rsid w:val="598A6A0F"/>
    <w:rsid w:val="69204655"/>
    <w:rsid w:val="6B617608"/>
    <w:rsid w:val="6BAD1BAB"/>
    <w:rsid w:val="7049430D"/>
    <w:rsid w:val="73B92BA4"/>
    <w:rsid w:val="7CC868DA"/>
    <w:rsid w:val="7E7A29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5857</Words>
  <Characters>6371</Characters>
  <Lines>54</Lines>
  <Paragraphs>15</Paragraphs>
  <TotalTime>104</TotalTime>
  <ScaleCrop>false</ScaleCrop>
  <LinksUpToDate>false</LinksUpToDate>
  <CharactersWithSpaces>6913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2022-08-03T06:38:00Z</dcterms:created>
  <dc:creator>陈劲</dc:creator>
  <cp:lastModifiedBy>Administrator</cp:lastModifiedBy>
  <cp:lastPrinted>2022-08-16T01:47:35Z</cp:lastPrinted>
  <dcterms:modified xsi:type="dcterms:W3CDTF">2022-08-16T03:09:27Z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3A0F32A727434A099EEC0A651639FE3B</vt:lpwstr>
  </property>
</Properties>
</file>