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sz w:val="30"/>
          <w:szCs w:val="24"/>
        </w:rPr>
      </w:pPr>
    </w:p>
    <w:p>
      <w:pPr>
        <w:spacing w:line="360" w:lineRule="auto"/>
        <w:jc w:val="center"/>
        <w:rPr>
          <w:sz w:val="30"/>
          <w:szCs w:val="24"/>
        </w:rPr>
      </w:pPr>
    </w:p>
    <w:p>
      <w:pPr>
        <w:spacing w:line="360" w:lineRule="auto"/>
        <w:jc w:val="center"/>
        <w:rPr>
          <w:sz w:val="30"/>
          <w:szCs w:val="24"/>
        </w:rPr>
      </w:pPr>
    </w:p>
    <w:p>
      <w:pPr>
        <w:jc w:val="right"/>
        <w:rPr>
          <w:rFonts w:ascii="仿宋" w:hAnsi="仿宋" w:eastAsia="仿宋" w:cs="仿宋"/>
          <w:sz w:val="30"/>
          <w:szCs w:val="30"/>
        </w:rPr>
      </w:pPr>
    </w:p>
    <w:p>
      <w:pPr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岳君环评〔202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〕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sz w:val="30"/>
          <w:szCs w:val="30"/>
        </w:rPr>
        <w:t>号</w:t>
      </w:r>
    </w:p>
    <w:p>
      <w:pPr>
        <w:spacing w:line="360" w:lineRule="auto"/>
        <w:jc w:val="center"/>
        <w:rPr>
          <w:rFonts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关于湖南新洺瀚年产10000吨小龙虾制品、3500吨鱼制品建设项目环境影响报告表的审批意见</w:t>
      </w:r>
    </w:p>
    <w:p>
      <w:pPr>
        <w:spacing w:line="360" w:lineRule="auto"/>
        <w:rPr>
          <w:sz w:val="24"/>
          <w:szCs w:val="24"/>
        </w:rPr>
      </w:pPr>
    </w:p>
    <w:p>
      <w:pPr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湖南新洺瀚食品科技有限公司：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你公司报送的《湖南新洺瀚年产10000吨小龙虾制品、3500吨鱼制品建设项目环境影响报告表》已收悉。我局按照建设项目管理有关规定对该项目进行审查，经研究，批复如下：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湖南新洺瀚食品科技有限公司拟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在</w:t>
      </w:r>
      <w:r>
        <w:rPr>
          <w:rFonts w:hint="eastAsia" w:ascii="仿宋" w:hAnsi="仿宋" w:eastAsia="仿宋" w:cs="仿宋"/>
          <w:sz w:val="30"/>
          <w:szCs w:val="30"/>
        </w:rPr>
        <w:t>君山区工业园（七期）工程标准厂房新建年产10000吨小龙虾制品、3500吨鱼制品建设项目。项目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用地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总</w:t>
      </w:r>
      <w:r>
        <w:rPr>
          <w:rFonts w:hint="eastAsia" w:ascii="仿宋" w:hAnsi="仿宋" w:eastAsia="仿宋" w:cs="仿宋"/>
          <w:sz w:val="30"/>
          <w:szCs w:val="30"/>
        </w:rPr>
        <w:t>面积33023.53m</w:t>
      </w:r>
      <w:r>
        <w:rPr>
          <w:rFonts w:hint="eastAsia" w:ascii="仿宋" w:hAnsi="仿宋" w:eastAsia="仿宋" w:cs="仿宋"/>
          <w:sz w:val="30"/>
          <w:szCs w:val="30"/>
          <w:vertAlign w:val="superscript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，总投资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8000</w:t>
      </w:r>
      <w:r>
        <w:rPr>
          <w:rFonts w:hint="eastAsia" w:ascii="仿宋" w:hAnsi="仿宋" w:eastAsia="仿宋" w:cs="仿宋"/>
          <w:sz w:val="30"/>
          <w:szCs w:val="30"/>
        </w:rPr>
        <w:t>万元，其中环保投资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300</w:t>
      </w:r>
      <w:r>
        <w:rPr>
          <w:rFonts w:hint="eastAsia" w:ascii="仿宋" w:hAnsi="仿宋" w:eastAsia="仿宋" w:cs="仿宋"/>
          <w:sz w:val="30"/>
          <w:szCs w:val="30"/>
        </w:rPr>
        <w:t>万元。项目主要建设内容为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收购间</w:t>
      </w:r>
      <w:r>
        <w:rPr>
          <w:rFonts w:hint="eastAsia" w:ascii="仿宋" w:hAnsi="仿宋" w:eastAsia="仿宋" w:cs="仿宋"/>
          <w:sz w:val="30"/>
          <w:szCs w:val="30"/>
        </w:rPr>
        <w:t>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加工间、调味间、蒸煮间、油炸间、冷却间、片冰间及其他辅助工程等</w:t>
      </w:r>
      <w:r>
        <w:rPr>
          <w:rFonts w:hint="eastAsia" w:ascii="仿宋" w:hAnsi="仿宋" w:eastAsia="仿宋" w:cs="仿宋"/>
          <w:sz w:val="30"/>
          <w:szCs w:val="30"/>
        </w:rPr>
        <w:t>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加工间每年4-7月份用于龙虾加工，8-次年3月份用于鱼制品加工；龙虾制品分为速冻（调味/原味）龙虾4000吨/年、冻熟龙虾仁2000吨/年、速冻龙虾尾4000吨/年；鱼制品分为单冻鮰鱼片1000吨/年、速冻鮰鱼2500吨/年</w:t>
      </w:r>
      <w:r>
        <w:rPr>
          <w:rFonts w:hint="eastAsia" w:ascii="仿宋" w:hAnsi="仿宋" w:eastAsia="仿宋" w:cs="仿宋"/>
          <w:sz w:val="30"/>
          <w:szCs w:val="30"/>
        </w:rPr>
        <w:t>。根据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长沙则中环保技术有限公司</w:t>
      </w:r>
      <w:r>
        <w:rPr>
          <w:rFonts w:hint="eastAsia" w:ascii="仿宋" w:hAnsi="仿宋" w:eastAsia="仿宋" w:cs="仿宋"/>
          <w:sz w:val="30"/>
          <w:szCs w:val="30"/>
        </w:rPr>
        <w:t>编制的《湖南新洺瀚年产10000吨小龙虾制品、3500吨鱼制品建设项目环境影响报告表》基本内容、结论、专家评审意见，综合考虑，我局原则同意你公司环境影响报告表中所列建设项目的性质、规模、工艺、地点和环境保护对策措施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一、认真落实专家及环境影响报告表中提出的各项污染防治措施，并应着重注意以下问题：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bookmarkStart w:id="0" w:name="OLE_LINK5"/>
      <w:r>
        <w:rPr>
          <w:rFonts w:hint="eastAsia" w:ascii="仿宋" w:hAnsi="仿宋" w:eastAsia="仿宋" w:cs="仿宋"/>
          <w:sz w:val="30"/>
          <w:szCs w:val="30"/>
        </w:rPr>
        <w:t>（一）</w:t>
      </w:r>
      <w:bookmarkEnd w:id="0"/>
      <w:bookmarkStart w:id="1" w:name="OLE_LINK1"/>
      <w:r>
        <w:rPr>
          <w:rFonts w:hint="eastAsia" w:ascii="仿宋" w:hAnsi="仿宋" w:eastAsia="仿宋" w:cs="仿宋"/>
          <w:sz w:val="30"/>
          <w:szCs w:val="30"/>
        </w:rPr>
        <w:t>切实做好施工期环境保护工作。本项目租赁已建成厂区，施工期主要为设备安装及厂房装修，合理安排作业时间，采取隔声降噪措施。装修垃圾及生活垃圾不得露天堆放，装修垃圾如废弃设备材料等综合利用；生活垃圾定点收集，由环卫部门统一收集处理。禁止将施工废渣排入周边渠道、农田等环境内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（二）废水污染防治。项目实行雨、污分流，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生活污水、生产废水经自建污水预处理设施处理满足</w:t>
      </w:r>
      <w:r>
        <w:rPr>
          <w:rFonts w:hint="eastAsia" w:ascii="仿宋" w:hAnsi="仿宋" w:eastAsia="仿宋" w:cs="仿宋"/>
          <w:sz w:val="30"/>
          <w:szCs w:val="30"/>
        </w:rPr>
        <w:t>君山区第二污水处理厂预处理中心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接纳标准</w:t>
      </w:r>
      <w:r>
        <w:rPr>
          <w:rFonts w:hint="eastAsia" w:ascii="仿宋" w:hAnsi="仿宋" w:eastAsia="仿宋" w:cs="仿宋"/>
          <w:sz w:val="30"/>
          <w:szCs w:val="30"/>
        </w:rPr>
        <w:t>后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一起排</w:t>
      </w:r>
      <w:r>
        <w:rPr>
          <w:rFonts w:hint="eastAsia" w:ascii="仿宋" w:hAnsi="仿宋" w:eastAsia="仿宋" w:cs="仿宋"/>
          <w:sz w:val="30"/>
          <w:szCs w:val="30"/>
        </w:rPr>
        <w:t>入君山区第二污水处理厂预处理中心进行处理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最终进入</w:t>
      </w:r>
      <w:r>
        <w:rPr>
          <w:rFonts w:hint="eastAsia" w:ascii="仿宋" w:hAnsi="仿宋" w:eastAsia="仿宋" w:cs="仿宋"/>
          <w:sz w:val="30"/>
          <w:szCs w:val="30"/>
        </w:rPr>
        <w:t>君山区第二污水处理厂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处理后外排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（三）大气污染防治。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导热油燃气锅炉产生的废气满足《锅炉大气污染物排放标准》（GB13271-2014）表3燃气锅炉大气污染物特别排放限值要求后通过楼顶12m高的排气筒引至楼顶外排；生产油烟废气经高效静电油烟净化器（效率≥95%）处理满足《饮食业油烟排放标准》（GB 18483-2001）的要求后，通过15m高排气筒引至屋顶高空排放；食堂油烟废气经油烟净化处理设施（去除率≥85%）处理满足《饮食业油烟排放标准》（GB 18483-2001）的要求后，通过高于楼顶3m的排放口排放。生产车间内机械通风，保持空气流通，合理平面布局，加强厂区绿化，采取有效防止措施减少恶臭影响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（四）噪声污染防治。选用低噪声设备、合理平面布局，确保厂界噪声达到《工业企业厂界环境噪声排放标准》（GB 12348-2008）3类标准要求。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（五）固体废物污染防治。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原辅材料做到日产日清，</w:t>
      </w:r>
      <w:r>
        <w:rPr>
          <w:rFonts w:hint="eastAsia" w:ascii="仿宋" w:hAnsi="仿宋" w:eastAsia="仿宋" w:cs="仿宋"/>
          <w:sz w:val="30"/>
          <w:szCs w:val="30"/>
        </w:rPr>
        <w:t>认真落实一般固废分类收集、处置和综合利用措施；生活垃圾由环卫部门定期清运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sz w:val="30"/>
          <w:szCs w:val="30"/>
        </w:rPr>
        <w:t>严格按照《危险废物贮存污染控制标准》(GB18597-2001)的相关要求设置危险固废暂存库，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废机油、废导热油</w:t>
      </w:r>
      <w:r>
        <w:rPr>
          <w:rFonts w:hint="eastAsia" w:ascii="仿宋" w:hAnsi="仿宋" w:eastAsia="仿宋" w:cs="仿宋"/>
          <w:sz w:val="30"/>
          <w:szCs w:val="30"/>
        </w:rPr>
        <w:t>等危废收集于危废暂存间后交由有资质单位进行处置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六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</w:rPr>
        <w:t>加强环境管理，建立健全的污染防治设施运行管理台帐，设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立</w:t>
      </w:r>
      <w:r>
        <w:rPr>
          <w:rFonts w:hint="eastAsia" w:ascii="仿宋" w:hAnsi="仿宋" w:eastAsia="仿宋" w:cs="仿宋"/>
          <w:sz w:val="30"/>
          <w:szCs w:val="30"/>
        </w:rPr>
        <w:t>专门的环保机构，配备专人负责环保工作，确保各项污染防治设施正常运行，各类污染物稳定达标排放。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七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</w:rPr>
        <w:t>污染物总量控制指标：COD≤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3.5</w:t>
      </w:r>
      <w:r>
        <w:rPr>
          <w:rFonts w:hint="eastAsia" w:ascii="仿宋" w:hAnsi="仿宋" w:eastAsia="仿宋" w:cs="仿宋"/>
          <w:sz w:val="30"/>
          <w:szCs w:val="30"/>
        </w:rPr>
        <w:t>t/a、NH3-N≤0.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仿宋"/>
          <w:sz w:val="30"/>
          <w:szCs w:val="30"/>
        </w:rPr>
        <w:t>t/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a、SO</w:t>
      </w:r>
      <w:r>
        <w:rPr>
          <w:rFonts w:hint="eastAsia" w:ascii="仿宋" w:hAnsi="仿宋" w:eastAsia="仿宋" w:cs="仿宋"/>
          <w:sz w:val="30"/>
          <w:szCs w:val="30"/>
          <w:vertAlign w:val="subscript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≤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0.4</w:t>
      </w:r>
      <w:r>
        <w:rPr>
          <w:rFonts w:hint="eastAsia" w:ascii="仿宋" w:hAnsi="仿宋" w:eastAsia="仿宋" w:cs="仿宋"/>
          <w:sz w:val="30"/>
          <w:szCs w:val="30"/>
        </w:rPr>
        <w:t>t/a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NO</w:t>
      </w:r>
      <w:r>
        <w:rPr>
          <w:rFonts w:hint="eastAsia" w:ascii="仿宋" w:hAnsi="仿宋" w:eastAsia="仿宋" w:cs="仿宋"/>
          <w:sz w:val="30"/>
          <w:szCs w:val="30"/>
          <w:vertAlign w:val="subscript"/>
          <w:lang w:val="en-US" w:eastAsia="zh-CN"/>
        </w:rPr>
        <w:t>X</w:t>
      </w:r>
      <w:r>
        <w:rPr>
          <w:rFonts w:hint="eastAsia" w:ascii="仿宋" w:hAnsi="仿宋" w:eastAsia="仿宋" w:cs="仿宋"/>
          <w:sz w:val="30"/>
          <w:szCs w:val="30"/>
        </w:rPr>
        <w:t>≤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0.3</w:t>
      </w:r>
      <w:r>
        <w:rPr>
          <w:rFonts w:hint="eastAsia" w:ascii="仿宋" w:hAnsi="仿宋" w:eastAsia="仿宋" w:cs="仿宋"/>
          <w:sz w:val="30"/>
          <w:szCs w:val="30"/>
        </w:rPr>
        <w:t>t/a。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二、你单位应在收到本批复后15个工作日内，将批复及该项目环评报批稿送至岳阳市君山区环境监察大队、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岳阳市君山区工业园管理委员会、长沙则中环保技术有限公司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ind w:firstLine="600" w:firstLineChars="200"/>
        <w:rPr>
          <w:rFonts w:hint="eastAsia" w:ascii="仿宋" w:hAnsi="仿宋" w:eastAsia="仿宋" w:cs="_4eff_5b8b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sz w:val="30"/>
          <w:szCs w:val="30"/>
        </w:rPr>
        <w:t>三、岳阳市君山区环境监察大队负责项目建设期的日常环境监管。</w:t>
      </w:r>
      <w:bookmarkEnd w:id="1"/>
    </w:p>
    <w:p>
      <w:pPr>
        <w:spacing w:line="520" w:lineRule="exact"/>
        <w:ind w:firstLine="4480" w:firstLineChars="1400"/>
        <w:rPr>
          <w:rFonts w:ascii="仿宋" w:hAnsi="仿宋" w:eastAsia="仿宋" w:cs="_4eff_5b8b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岳阳市生态环境局</w:t>
      </w:r>
    </w:p>
    <w:p>
      <w:pPr>
        <w:spacing w:line="520" w:lineRule="exact"/>
        <w:ind w:firstLine="4480" w:firstLineChars="14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202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年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月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/>
        </w:rPr>
        <w:t>18</w:t>
      </w:r>
      <w:bookmarkStart w:id="2" w:name="_GoBack"/>
      <w:bookmarkEnd w:id="2"/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_4eff_5b8b_GB2312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multilevel"/>
    <w:tmpl w:val="00000006"/>
    <w:lvl w:ilvl="0" w:tentative="0">
      <w:start w:val="1"/>
      <w:numFmt w:val="lowerLetter"/>
      <w:lvlText w:val="%1."/>
      <w:lvlJc w:val="left"/>
      <w:pPr>
        <w:tabs>
          <w:tab w:val="left" w:pos="420"/>
        </w:tabs>
        <w:ind w:left="0" w:firstLine="539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pStyle w:val="5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pStyle w:val="4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1D851E95"/>
    <w:multiLevelType w:val="multilevel"/>
    <w:tmpl w:val="1D851E95"/>
    <w:lvl w:ilvl="0" w:tentative="0">
      <w:start w:val="1"/>
      <w:numFmt w:val="japaneseCounting"/>
      <w:lvlText w:val="%1、"/>
      <w:lvlJc w:val="left"/>
      <w:pPr>
        <w:tabs>
          <w:tab w:val="left" w:pos="585"/>
        </w:tabs>
        <w:ind w:left="585" w:hanging="480"/>
      </w:pPr>
      <w:rPr>
        <w:rFonts w:hint="default"/>
      </w:rPr>
    </w:lvl>
    <w:lvl w:ilvl="1" w:tentative="0">
      <w:start w:val="1"/>
      <w:numFmt w:val="lowerLetter"/>
      <w:pStyle w:val="6"/>
      <w:lvlText w:val="%2)"/>
      <w:lvlJc w:val="left"/>
      <w:pPr>
        <w:tabs>
          <w:tab w:val="left" w:pos="945"/>
        </w:tabs>
        <w:ind w:left="945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365"/>
        </w:tabs>
        <w:ind w:left="1365" w:hanging="420"/>
      </w:pPr>
    </w:lvl>
    <w:lvl w:ilvl="3" w:tentative="0">
      <w:start w:val="1"/>
      <w:numFmt w:val="decimal"/>
      <w:lvlText w:val="%4."/>
      <w:lvlJc w:val="left"/>
      <w:pPr>
        <w:tabs>
          <w:tab w:val="left" w:pos="1785"/>
        </w:tabs>
        <w:ind w:left="1785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205"/>
        </w:tabs>
        <w:ind w:left="2205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625"/>
        </w:tabs>
        <w:ind w:left="2625" w:hanging="420"/>
      </w:pPr>
    </w:lvl>
    <w:lvl w:ilvl="6" w:tentative="0">
      <w:start w:val="1"/>
      <w:numFmt w:val="decimal"/>
      <w:lvlText w:val="%7."/>
      <w:lvlJc w:val="left"/>
      <w:pPr>
        <w:tabs>
          <w:tab w:val="left" w:pos="3045"/>
        </w:tabs>
        <w:ind w:left="3045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465"/>
        </w:tabs>
        <w:ind w:left="3465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885"/>
        </w:tabs>
        <w:ind w:left="3885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4C6627A"/>
    <w:rsid w:val="0049144E"/>
    <w:rsid w:val="004D382B"/>
    <w:rsid w:val="0082775E"/>
    <w:rsid w:val="00A92163"/>
    <w:rsid w:val="00DC5F66"/>
    <w:rsid w:val="00F767C8"/>
    <w:rsid w:val="04C6627A"/>
    <w:rsid w:val="0A686B0F"/>
    <w:rsid w:val="0CA723DA"/>
    <w:rsid w:val="153174E5"/>
    <w:rsid w:val="270F17DF"/>
    <w:rsid w:val="272D624B"/>
    <w:rsid w:val="35992759"/>
    <w:rsid w:val="557430F7"/>
    <w:rsid w:val="57B60B1F"/>
    <w:rsid w:val="6A2A4E03"/>
    <w:rsid w:val="6CE90D53"/>
    <w:rsid w:val="7C850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8">
    <w:name w:val="heading 2"/>
    <w:basedOn w:val="1"/>
    <w:next w:val="1"/>
    <w:unhideWhenUsed/>
    <w:qFormat/>
    <w:uiPriority w:val="9"/>
    <w:pPr>
      <w:pBdr>
        <w:bottom w:val="single" w:color="5B9BD5" w:themeColor="accent1" w:sz="8" w:space="1"/>
      </w:pBdr>
      <w:spacing w:before="200" w:after="80"/>
      <w:outlineLvl w:val="1"/>
    </w:pPr>
    <w:rPr>
      <w:rFonts w:asciiTheme="majorHAnsi" w:hAnsiTheme="majorHAnsi" w:eastAsiaTheme="majorEastAsia" w:cstheme="majorBidi"/>
      <w:color w:val="2E75B5" w:themeColor="accent1" w:themeShade="BF"/>
      <w:sz w:val="24"/>
      <w:szCs w:val="24"/>
    </w:rPr>
  </w:style>
  <w:style w:type="paragraph" w:styleId="9">
    <w:name w:val="heading 3"/>
    <w:basedOn w:val="8"/>
    <w:next w:val="1"/>
    <w:unhideWhenUsed/>
    <w:qFormat/>
    <w:uiPriority w:val="9"/>
    <w:pPr>
      <w:pBdr>
        <w:bottom w:val="single" w:color="9CC2E5" w:themeColor="accent1" w:themeTint="99" w:sz="4" w:space="1"/>
      </w:pBdr>
      <w:outlineLvl w:val="2"/>
    </w:pPr>
    <w:rPr>
      <w:color w:val="5B9BD5" w:themeColor="accent1"/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四级条标题"/>
    <w:basedOn w:val="3"/>
    <w:next w:val="7"/>
    <w:qFormat/>
    <w:uiPriority w:val="0"/>
    <w:pPr>
      <w:widowControl/>
      <w:numPr>
        <w:ilvl w:val="3"/>
        <w:numId w:val="0"/>
      </w:numPr>
      <w:tabs>
        <w:tab w:val="left" w:pos="945"/>
        <w:tab w:val="left" w:pos="1260"/>
        <w:tab w:val="left" w:pos="1680"/>
      </w:tabs>
      <w:outlineLvl w:val="5"/>
    </w:pPr>
    <w:rPr>
      <w:rFonts w:ascii="黑体" w:eastAsia="黑体"/>
      <w:kern w:val="0"/>
      <w:szCs w:val="20"/>
    </w:rPr>
  </w:style>
  <w:style w:type="paragraph" w:customStyle="1" w:styleId="3">
    <w:name w:val="三级条标题"/>
    <w:basedOn w:val="4"/>
    <w:next w:val="7"/>
    <w:qFormat/>
    <w:uiPriority w:val="0"/>
    <w:pPr>
      <w:numPr>
        <w:ilvl w:val="3"/>
        <w:numId w:val="0"/>
      </w:numPr>
      <w:tabs>
        <w:tab w:val="left" w:pos="945"/>
        <w:tab w:val="left" w:pos="1260"/>
        <w:tab w:val="left" w:pos="1680"/>
      </w:tabs>
      <w:outlineLvl w:val="4"/>
    </w:pPr>
  </w:style>
  <w:style w:type="paragraph" w:customStyle="1" w:styleId="4">
    <w:name w:val="二级条标题"/>
    <w:basedOn w:val="5"/>
    <w:next w:val="7"/>
    <w:qFormat/>
    <w:uiPriority w:val="0"/>
    <w:pPr>
      <w:numPr>
        <w:ilvl w:val="3"/>
        <w:numId w:val="1"/>
      </w:numPr>
      <w:tabs>
        <w:tab w:val="left" w:pos="945"/>
        <w:tab w:val="left" w:pos="1260"/>
      </w:tabs>
      <w:outlineLvl w:val="3"/>
    </w:pPr>
  </w:style>
  <w:style w:type="paragraph" w:customStyle="1" w:styleId="5">
    <w:name w:val="一级条标题"/>
    <w:basedOn w:val="6"/>
    <w:next w:val="7"/>
    <w:qFormat/>
    <w:uiPriority w:val="0"/>
    <w:pPr>
      <w:numPr>
        <w:ilvl w:val="2"/>
        <w:numId w:val="1"/>
      </w:numPr>
      <w:tabs>
        <w:tab w:val="left" w:pos="945"/>
      </w:tabs>
      <w:spacing w:before="0" w:beforeLines="0" w:after="0" w:afterLines="0"/>
      <w:outlineLvl w:val="2"/>
    </w:pPr>
  </w:style>
  <w:style w:type="paragraph" w:customStyle="1" w:styleId="6">
    <w:name w:val="章标题"/>
    <w:next w:val="7"/>
    <w:qFormat/>
    <w:uiPriority w:val="0"/>
    <w:pPr>
      <w:numPr>
        <w:ilvl w:val="1"/>
        <w:numId w:val="2"/>
      </w:numPr>
      <w:spacing w:before="50" w:after="50"/>
      <w:jc w:val="both"/>
      <w:outlineLvl w:val="1"/>
    </w:pPr>
    <w:rPr>
      <w:rFonts w:ascii="黑体" w:hAnsi="Calibri" w:eastAsia="黑体" w:cs="Times New Roman"/>
      <w:sz w:val="21"/>
      <w:lang w:val="en-US" w:eastAsia="zh-CN" w:bidi="ar-SA"/>
    </w:rPr>
  </w:style>
  <w:style w:type="paragraph" w:customStyle="1" w:styleId="7">
    <w:name w:val="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10">
    <w:name w:val="Body Text"/>
    <w:basedOn w:val="1"/>
    <w:next w:val="11"/>
    <w:qFormat/>
    <w:uiPriority w:val="0"/>
    <w:pPr>
      <w:spacing w:after="120"/>
    </w:pPr>
    <w:rPr>
      <w:rFonts w:ascii="Times New Roman" w:hAnsi="Times New Roman" w:eastAsia="宋体" w:cs="Times New Roman"/>
    </w:rPr>
  </w:style>
  <w:style w:type="paragraph" w:customStyle="1" w:styleId="11">
    <w:name w:val="xl27"/>
    <w:basedOn w:val="1"/>
    <w:next w:val="1"/>
    <w:qFormat/>
    <w:uiPriority w:val="0"/>
    <w:pPr>
      <w:widowControl/>
      <w:spacing w:before="100" w:beforeAutospacing="1" w:after="100" w:afterAutospacing="1"/>
      <w:jc w:val="left"/>
    </w:pPr>
    <w:rPr>
      <w:color w:val="FF0000"/>
      <w:kern w:val="0"/>
    </w:rPr>
  </w:style>
  <w:style w:type="paragraph" w:styleId="12">
    <w:name w:val="Body Text Indent"/>
    <w:basedOn w:val="1"/>
    <w:next w:val="13"/>
    <w:qFormat/>
    <w:uiPriority w:val="0"/>
    <w:pPr>
      <w:spacing w:after="120"/>
      <w:ind w:left="420" w:leftChars="200"/>
    </w:pPr>
  </w:style>
  <w:style w:type="paragraph" w:styleId="13">
    <w:name w:val="Body Text First Indent 2"/>
    <w:basedOn w:val="12"/>
    <w:next w:val="14"/>
    <w:qFormat/>
    <w:uiPriority w:val="0"/>
    <w:pPr>
      <w:ind w:firstLine="420"/>
    </w:pPr>
  </w:style>
  <w:style w:type="paragraph" w:styleId="14">
    <w:name w:val="Body Text First Indent"/>
    <w:basedOn w:val="10"/>
    <w:next w:val="1"/>
    <w:qFormat/>
    <w:uiPriority w:val="0"/>
    <w:pPr>
      <w:adjustRightInd w:val="0"/>
      <w:snapToGrid w:val="0"/>
      <w:spacing w:after="0" w:line="360" w:lineRule="auto"/>
      <w:ind w:firstLine="200"/>
      <w:jc w:val="both"/>
    </w:pPr>
    <w:rPr>
      <w:kern w:val="2"/>
      <w:sz w:val="24"/>
    </w:rPr>
  </w:style>
  <w:style w:type="paragraph" w:customStyle="1" w:styleId="17">
    <w:name w:val="Date1"/>
    <w:basedOn w:val="1"/>
    <w:next w:val="1"/>
    <w:qFormat/>
    <w:uiPriority w:val="0"/>
    <w:pPr>
      <w:adjustRightInd w:val="0"/>
      <w:jc w:val="left"/>
      <w:textAlignment w:val="baseline"/>
    </w:pPr>
    <w:rPr>
      <w:rFonts w:ascii="宋体" w:hAnsi="宋体"/>
      <w:sz w:val="28"/>
      <w:szCs w:val="20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167</Words>
  <Characters>955</Characters>
  <Lines>7</Lines>
  <Paragraphs>2</Paragraphs>
  <TotalTime>48</TotalTime>
  <ScaleCrop>false</ScaleCrop>
  <LinksUpToDate>false</LinksUpToDate>
  <CharactersWithSpaces>1120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2020-07-12T13:16:00Z</dcterms:created>
  <dc:creator>Lenovo</dc:creator>
  <cp:lastModifiedBy>Administrator</cp:lastModifiedBy>
  <cp:lastPrinted>2022-03-18T02:21:43Z</cp:lastPrinted>
  <dcterms:modified xsi:type="dcterms:W3CDTF">2022-03-18T02:58:54Z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FD5ECF9061774815B92AF8421CB48A34</vt:lpwstr>
  </property>
</Properties>
</file>