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sz w:val="30"/>
          <w:szCs w:val="24"/>
        </w:rPr>
      </w:pPr>
    </w:p>
    <w:p>
      <w:pPr>
        <w:spacing w:line="360" w:lineRule="auto"/>
        <w:jc w:val="center"/>
        <w:rPr>
          <w:sz w:val="30"/>
          <w:szCs w:val="24"/>
        </w:rPr>
      </w:pPr>
    </w:p>
    <w:p>
      <w:pPr>
        <w:spacing w:line="360" w:lineRule="auto"/>
        <w:jc w:val="center"/>
        <w:rPr>
          <w:sz w:val="30"/>
          <w:szCs w:val="24"/>
        </w:rPr>
      </w:pPr>
    </w:p>
    <w:p>
      <w:pPr>
        <w:jc w:val="right"/>
        <w:rPr>
          <w:rFonts w:ascii="仿宋" w:hAnsi="仿宋" w:eastAsia="仿宋" w:cs="仿宋"/>
          <w:sz w:val="30"/>
          <w:szCs w:val="30"/>
        </w:rPr>
      </w:pPr>
    </w:p>
    <w:p>
      <w:pPr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岳君环评〔202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〕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11</w:t>
      </w:r>
      <w:r>
        <w:rPr>
          <w:rFonts w:hint="eastAsia" w:ascii="仿宋" w:hAnsi="仿宋" w:eastAsia="仿宋" w:cs="仿宋"/>
          <w:sz w:val="30"/>
          <w:szCs w:val="30"/>
        </w:rPr>
        <w:t>号</w:t>
      </w:r>
    </w:p>
    <w:p>
      <w:pPr>
        <w:spacing w:line="360" w:lineRule="auto"/>
        <w:jc w:val="center"/>
        <w:rPr>
          <w:rFonts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关于洞庭湖区芦苇高值利用研发项目环境影响报告表的审批意见</w:t>
      </w:r>
    </w:p>
    <w:p>
      <w:pPr>
        <w:spacing w:line="360" w:lineRule="auto"/>
        <w:rPr>
          <w:sz w:val="24"/>
          <w:szCs w:val="24"/>
        </w:rPr>
      </w:pP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岳阳山河农林科技发展有限公司君山分公司：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你公司报送的《洞庭湖区芦苇高值利用研发项目环境影响报告表》已收悉。我局按照建设项目管理有关规定对该项目进行审查，经研究，批复如下：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岳阳山河农林科技发展有限公司君山分公司拟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在湖南省岳阳市君山区君山工业园区四期六号楼</w:t>
      </w:r>
      <w:r>
        <w:rPr>
          <w:rFonts w:hint="eastAsia" w:ascii="仿宋" w:hAnsi="仿宋" w:eastAsia="仿宋" w:cs="仿宋"/>
          <w:sz w:val="30"/>
          <w:szCs w:val="30"/>
        </w:rPr>
        <w:t>新建洞庭湖区芦苇高值利用研发项目。项目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用地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总</w:t>
      </w:r>
      <w:r>
        <w:rPr>
          <w:rFonts w:hint="eastAsia" w:ascii="仿宋" w:hAnsi="仿宋" w:eastAsia="仿宋" w:cs="仿宋"/>
          <w:sz w:val="30"/>
          <w:szCs w:val="30"/>
        </w:rPr>
        <w:t>面积3340.92m</w:t>
      </w:r>
      <w:r>
        <w:rPr>
          <w:rFonts w:hint="eastAsia" w:ascii="仿宋" w:hAnsi="仿宋" w:eastAsia="仿宋" w:cs="仿宋"/>
          <w:sz w:val="30"/>
          <w:szCs w:val="30"/>
          <w:vertAlign w:val="superscript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，总投资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2800</w:t>
      </w:r>
      <w:r>
        <w:rPr>
          <w:rFonts w:hint="eastAsia" w:ascii="仿宋" w:hAnsi="仿宋" w:eastAsia="仿宋" w:cs="仿宋"/>
          <w:sz w:val="30"/>
          <w:szCs w:val="30"/>
        </w:rPr>
        <w:t>万元，其中环保投资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</w:t>
      </w:r>
      <w:r>
        <w:rPr>
          <w:rFonts w:hint="eastAsia" w:ascii="仿宋" w:hAnsi="仿宋" w:eastAsia="仿宋" w:cs="仿宋"/>
          <w:sz w:val="30"/>
          <w:szCs w:val="30"/>
        </w:rPr>
        <w:t>万元。项目主要建设内容为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新建</w:t>
      </w:r>
      <w:r>
        <w:rPr>
          <w:rFonts w:hint="eastAsia" w:ascii="仿宋" w:hAnsi="仿宋" w:eastAsia="仿宋" w:cs="仿宋"/>
          <w:sz w:val="30"/>
          <w:szCs w:val="30"/>
        </w:rPr>
        <w:t>食用菌组培实验室、芦苇基料生产实验室，包括生物培养间、发酵储藏间、样品分析间、样品实验间，仓库、袋装间、灭菌间、接种间等。根据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湖南永蓝新环境服务有限公司</w:t>
      </w:r>
      <w:r>
        <w:rPr>
          <w:rFonts w:hint="eastAsia" w:ascii="仿宋" w:hAnsi="仿宋" w:eastAsia="仿宋" w:cs="仿宋"/>
          <w:sz w:val="30"/>
          <w:szCs w:val="30"/>
        </w:rPr>
        <w:t>编制的《洞庭湖区芦苇高值利用研发项目环境影响报告表》基本内容、结论、专家评审意见，综合考虑，我局原则同意你公司环境影响报告表中所列建设项目的性质、规模、工艺、地点和环境保护对策措施。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一、认真落实专家及环境影响报告表中提出的各项污染防治措施，并应着重注意以下问题：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bookmarkStart w:id="0" w:name="OLE_LINK5"/>
      <w:r>
        <w:rPr>
          <w:rFonts w:hint="eastAsia" w:ascii="仿宋" w:hAnsi="仿宋" w:eastAsia="仿宋" w:cs="仿宋"/>
          <w:sz w:val="30"/>
          <w:szCs w:val="30"/>
        </w:rPr>
        <w:t>（一）</w:t>
      </w:r>
      <w:bookmarkEnd w:id="0"/>
      <w:bookmarkStart w:id="1" w:name="OLE_LINK1"/>
      <w:r>
        <w:rPr>
          <w:rFonts w:hint="eastAsia" w:ascii="仿宋" w:hAnsi="仿宋" w:eastAsia="仿宋" w:cs="仿宋"/>
          <w:sz w:val="30"/>
          <w:szCs w:val="30"/>
        </w:rPr>
        <w:t>切实做好施工期环境保护工作。落实环境影响评价文件提出的各项施工期污防措施，尽量缩短施工期，合理布局施工机械，对施工场地采取围挡、加盖篷布、洒水降尘等抑尘措施，禁止在大风天作业，渣土物料运输采用密闭或其他遮覆方式，有效减轻施工及运输的扬尘污染影响；选用低噪声施工设备，合理安排施工时间，减少噪声对周边环境的影响；施工期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生产</w:t>
      </w:r>
      <w:r>
        <w:rPr>
          <w:rFonts w:hint="eastAsia" w:ascii="仿宋" w:hAnsi="仿宋" w:eastAsia="仿宋" w:cs="仿宋"/>
          <w:sz w:val="30"/>
          <w:szCs w:val="30"/>
        </w:rPr>
        <w:t>废水经沉淀后回用，生活污水经化粪池处理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后通过园区污水管网进入君山区第二污水处理厂预处理中心</w:t>
      </w:r>
      <w:r>
        <w:rPr>
          <w:rFonts w:hint="eastAsia" w:ascii="仿宋" w:hAnsi="仿宋" w:eastAsia="仿宋" w:cs="仿宋"/>
          <w:sz w:val="30"/>
          <w:szCs w:val="30"/>
        </w:rPr>
        <w:t>；施工期固废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综合利用</w:t>
      </w:r>
      <w:r>
        <w:rPr>
          <w:rFonts w:hint="eastAsia" w:ascii="仿宋" w:hAnsi="仿宋" w:eastAsia="仿宋" w:cs="仿宋"/>
          <w:sz w:val="30"/>
          <w:szCs w:val="30"/>
        </w:rPr>
        <w:t>，生活垃圾定点收集，由环卫部门统一收集处理。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（二）废水污染防治。项目实行雨、污分流，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生活污水经化粪池处理、实验室废水通过中和沉淀处理</w:t>
      </w:r>
      <w:r>
        <w:rPr>
          <w:rFonts w:hint="eastAsia" w:ascii="仿宋" w:hAnsi="仿宋" w:eastAsia="仿宋" w:cs="仿宋"/>
          <w:sz w:val="30"/>
          <w:szCs w:val="30"/>
        </w:rPr>
        <w:t>达到君山区第二污水处理厂预处理中心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接纳标准</w:t>
      </w:r>
      <w:r>
        <w:rPr>
          <w:rFonts w:hint="eastAsia" w:ascii="仿宋" w:hAnsi="仿宋" w:eastAsia="仿宋" w:cs="仿宋"/>
          <w:sz w:val="30"/>
          <w:szCs w:val="30"/>
        </w:rPr>
        <w:t>后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一起排</w:t>
      </w:r>
      <w:r>
        <w:rPr>
          <w:rFonts w:hint="eastAsia" w:ascii="仿宋" w:hAnsi="仿宋" w:eastAsia="仿宋" w:cs="仿宋"/>
          <w:sz w:val="30"/>
          <w:szCs w:val="30"/>
        </w:rPr>
        <w:t>入君山区第二污水处理厂预处理中心进行处理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最终进入</w:t>
      </w:r>
      <w:r>
        <w:rPr>
          <w:rFonts w:hint="eastAsia" w:ascii="仿宋" w:hAnsi="仿宋" w:eastAsia="仿宋" w:cs="仿宋"/>
          <w:sz w:val="30"/>
          <w:szCs w:val="30"/>
        </w:rPr>
        <w:t>君山区第二污水处理厂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处理后外排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>
      <w:pPr>
        <w:ind w:firstLine="600" w:firstLineChars="2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（三）大气污染防治。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实验室产生的有机废气由集气罩收集经活性炭处理满足《大气污染物综合排放标准》（GB16297-1996）表2二级排放标准后通过25m排气筒排放。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（四）噪声污染防治。选用低噪声设备、合理平面布局，确保厂界噪声达到《工业企业厂界环境噪声排放标准》（GB 12348-2008）3类标准要求。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（五）固体废物污染防治。严格按照《危险废物贮存污染控制标准》(GB18597-2001)的相关要求设置危险固废暂存库，废活性炭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等危废</w:t>
      </w:r>
      <w:r>
        <w:rPr>
          <w:rFonts w:hint="eastAsia" w:ascii="仿宋" w:hAnsi="仿宋" w:eastAsia="仿宋" w:cs="仿宋"/>
          <w:sz w:val="30"/>
          <w:szCs w:val="30"/>
        </w:rPr>
        <w:t>收集于危废暂存间后交由有资质单位进行处置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仿宋"/>
          <w:sz w:val="30"/>
          <w:szCs w:val="30"/>
        </w:rPr>
        <w:t>认真落实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一般</w:t>
      </w:r>
      <w:r>
        <w:rPr>
          <w:rFonts w:hint="eastAsia" w:ascii="仿宋" w:hAnsi="仿宋" w:eastAsia="仿宋" w:cs="仿宋"/>
          <w:sz w:val="30"/>
          <w:szCs w:val="30"/>
        </w:rPr>
        <w:t>固废分类收集、处置和综合利用措施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仿宋"/>
          <w:sz w:val="30"/>
          <w:szCs w:val="30"/>
        </w:rPr>
        <w:t>生活垃圾由环卫部门定期清运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六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z w:val="30"/>
          <w:szCs w:val="30"/>
        </w:rPr>
        <w:t>加强环境管理，建立健全的污染防治设施运行管理台帐，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加强实验室试剂管理，</w:t>
      </w:r>
      <w:r>
        <w:rPr>
          <w:rFonts w:hint="eastAsia" w:ascii="仿宋" w:hAnsi="仿宋" w:eastAsia="仿宋" w:cs="仿宋"/>
          <w:sz w:val="30"/>
          <w:szCs w:val="30"/>
        </w:rPr>
        <w:t>配备专人负责环保工作，确保各项污染防治设施正常运行，各类污染物稳定达标排放。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七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z w:val="30"/>
          <w:szCs w:val="30"/>
        </w:rPr>
        <w:t>污染物总量控制指标：COD≤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0.1</w:t>
      </w:r>
      <w:r>
        <w:rPr>
          <w:rFonts w:hint="eastAsia" w:ascii="仿宋" w:hAnsi="仿宋" w:eastAsia="仿宋" w:cs="仿宋"/>
          <w:sz w:val="30"/>
          <w:szCs w:val="30"/>
        </w:rPr>
        <w:t>t/a、NH3-N≤0.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t/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a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二、你单位应在收到本批复后15个工作日内，将批复及该项目环评报批稿送至岳阳市君山区环境</w:t>
      </w:r>
      <w:bookmarkStart w:id="2" w:name="_GoBack"/>
      <w:bookmarkEnd w:id="2"/>
      <w:r>
        <w:rPr>
          <w:rFonts w:hint="eastAsia" w:ascii="仿宋" w:hAnsi="仿宋" w:eastAsia="仿宋" w:cs="仿宋"/>
          <w:sz w:val="30"/>
          <w:szCs w:val="30"/>
        </w:rPr>
        <w:t>监察大队、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岳阳市君山区工业园管理委员会、湖南永蓝新环境服务有限公司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>
      <w:pPr>
        <w:ind w:firstLine="600" w:firstLineChars="200"/>
        <w:rPr>
          <w:rFonts w:hint="eastAsia" w:ascii="仿宋" w:hAnsi="仿宋" w:eastAsia="仿宋" w:cs="_4eff_5b8b_GB2312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0"/>
          <w:szCs w:val="30"/>
        </w:rPr>
        <w:t>三、岳阳市君山区环境监察大队负责项目建设期的日常环境监管。</w:t>
      </w:r>
      <w:bookmarkEnd w:id="1"/>
    </w:p>
    <w:p>
      <w:pPr>
        <w:spacing w:line="520" w:lineRule="exact"/>
        <w:ind w:firstLine="4480" w:firstLineChars="1400"/>
        <w:rPr>
          <w:rFonts w:hint="eastAsia" w:ascii="仿宋" w:hAnsi="仿宋" w:eastAsia="仿宋" w:cs="_4eff_5b8b_GB2312"/>
          <w:bCs/>
          <w:color w:val="000000"/>
          <w:sz w:val="32"/>
          <w:szCs w:val="32"/>
        </w:rPr>
      </w:pPr>
    </w:p>
    <w:p>
      <w:pPr>
        <w:spacing w:line="520" w:lineRule="exact"/>
        <w:ind w:firstLine="4480" w:firstLineChars="1400"/>
        <w:rPr>
          <w:rFonts w:hint="eastAsia" w:ascii="仿宋" w:hAnsi="仿宋" w:eastAsia="仿宋" w:cs="_4eff_5b8b_GB2312"/>
          <w:bCs/>
          <w:color w:val="000000"/>
          <w:sz w:val="32"/>
          <w:szCs w:val="32"/>
        </w:rPr>
      </w:pPr>
    </w:p>
    <w:p>
      <w:pPr>
        <w:spacing w:line="520" w:lineRule="exact"/>
        <w:ind w:firstLine="4480" w:firstLineChars="1400"/>
        <w:rPr>
          <w:rFonts w:ascii="仿宋" w:hAnsi="仿宋" w:eastAsia="仿宋" w:cs="_4eff_5b8b_GB2312"/>
          <w:bCs/>
          <w:color w:val="000000"/>
          <w:sz w:val="32"/>
          <w:szCs w:val="32"/>
        </w:rPr>
      </w:pPr>
      <w:r>
        <w:rPr>
          <w:rFonts w:hint="eastAsia" w:ascii="仿宋" w:hAnsi="仿宋" w:eastAsia="仿宋" w:cs="_4eff_5b8b_GB2312"/>
          <w:bCs/>
          <w:color w:val="000000"/>
          <w:sz w:val="32"/>
          <w:szCs w:val="32"/>
        </w:rPr>
        <w:t>岳阳市生态环境局</w:t>
      </w:r>
    </w:p>
    <w:p>
      <w:pPr>
        <w:spacing w:line="520" w:lineRule="exact"/>
        <w:ind w:firstLine="4480" w:firstLineChars="14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_4eff_5b8b_GB2312"/>
          <w:bCs/>
          <w:color w:val="000000"/>
          <w:sz w:val="32"/>
          <w:szCs w:val="32"/>
        </w:rPr>
        <w:t>202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</w:rPr>
        <w:t>年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</w:rPr>
        <w:t>月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_4eff_5b8b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lowerLetter"/>
      <w:lvlText w:val="%1."/>
      <w:lvlJc w:val="left"/>
      <w:pPr>
        <w:tabs>
          <w:tab w:val="left" w:pos="420"/>
        </w:tabs>
        <w:ind w:left="0" w:firstLine="539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pStyle w:val="14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pStyle w:val="13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1D851E95"/>
    <w:multiLevelType w:val="multilevel"/>
    <w:tmpl w:val="1D851E95"/>
    <w:lvl w:ilvl="0" w:tentative="0">
      <w:start w:val="1"/>
      <w:numFmt w:val="japaneseCounting"/>
      <w:lvlText w:val="%1、"/>
      <w:lvlJc w:val="left"/>
      <w:pPr>
        <w:tabs>
          <w:tab w:val="left" w:pos="585"/>
        </w:tabs>
        <w:ind w:left="585" w:hanging="480"/>
      </w:pPr>
      <w:rPr>
        <w:rFonts w:hint="default"/>
      </w:rPr>
    </w:lvl>
    <w:lvl w:ilvl="1" w:tentative="0">
      <w:start w:val="1"/>
      <w:numFmt w:val="lowerLetter"/>
      <w:pStyle w:val="15"/>
      <w:lvlText w:val="%2)"/>
      <w:lvlJc w:val="left"/>
      <w:pPr>
        <w:tabs>
          <w:tab w:val="left" w:pos="945"/>
        </w:tabs>
        <w:ind w:left="945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365"/>
        </w:tabs>
        <w:ind w:left="1365" w:hanging="420"/>
      </w:pPr>
    </w:lvl>
    <w:lvl w:ilvl="3" w:tentative="0">
      <w:start w:val="1"/>
      <w:numFmt w:val="decimal"/>
      <w:lvlText w:val="%4."/>
      <w:lvlJc w:val="left"/>
      <w:pPr>
        <w:tabs>
          <w:tab w:val="left" w:pos="1785"/>
        </w:tabs>
        <w:ind w:left="1785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205"/>
        </w:tabs>
        <w:ind w:left="2205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625"/>
        </w:tabs>
        <w:ind w:left="2625" w:hanging="420"/>
      </w:pPr>
    </w:lvl>
    <w:lvl w:ilvl="6" w:tentative="0">
      <w:start w:val="1"/>
      <w:numFmt w:val="decimal"/>
      <w:lvlText w:val="%7."/>
      <w:lvlJc w:val="left"/>
      <w:pPr>
        <w:tabs>
          <w:tab w:val="left" w:pos="3045"/>
        </w:tabs>
        <w:ind w:left="3045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465"/>
        </w:tabs>
        <w:ind w:left="3465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885"/>
        </w:tabs>
        <w:ind w:left="388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C6627A"/>
    <w:rsid w:val="0049144E"/>
    <w:rsid w:val="004D382B"/>
    <w:rsid w:val="0082775E"/>
    <w:rsid w:val="00A92163"/>
    <w:rsid w:val="00DC5F66"/>
    <w:rsid w:val="00F767C8"/>
    <w:rsid w:val="04C6627A"/>
    <w:rsid w:val="0A686B0F"/>
    <w:rsid w:val="0CA723DA"/>
    <w:rsid w:val="153174E5"/>
    <w:rsid w:val="228A10B5"/>
    <w:rsid w:val="270F17DF"/>
    <w:rsid w:val="327C5F03"/>
    <w:rsid w:val="557430F7"/>
    <w:rsid w:val="6CE90D53"/>
    <w:rsid w:val="77832939"/>
    <w:rsid w:val="7C8503AD"/>
    <w:rsid w:val="7CE0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9"/>
    <w:pPr>
      <w:pBdr>
        <w:bottom w:val="single" w:color="5B9BD5" w:themeColor="accent1" w:sz="8" w:space="1"/>
      </w:pBdr>
      <w:spacing w:before="200" w:after="80"/>
      <w:outlineLvl w:val="1"/>
    </w:pPr>
    <w:rPr>
      <w:rFonts w:asciiTheme="majorHAnsi" w:hAnsiTheme="majorHAnsi" w:eastAsiaTheme="majorEastAsia" w:cstheme="majorBidi"/>
      <w:color w:val="2E75B6" w:themeColor="accent1" w:themeShade="BF"/>
      <w:sz w:val="24"/>
      <w:szCs w:val="24"/>
    </w:rPr>
  </w:style>
  <w:style w:type="paragraph" w:styleId="5">
    <w:name w:val="heading 3"/>
    <w:basedOn w:val="4"/>
    <w:next w:val="1"/>
    <w:unhideWhenUsed/>
    <w:qFormat/>
    <w:uiPriority w:val="9"/>
    <w:pPr>
      <w:pBdr>
        <w:bottom w:val="single" w:color="9CC2E5" w:themeColor="accent1" w:themeTint="99" w:sz="4" w:space="1"/>
      </w:pBdr>
      <w:outlineLvl w:val="2"/>
    </w:pPr>
    <w:rPr>
      <w:color w:val="5B9BD5" w:themeColor="accent1"/>
      <w14:textFill>
        <w14:solidFill>
          <w14:schemeClr w14:val="accent1"/>
        </w14:solidFill>
      </w14:textFill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customStyle="1" w:styleId="3">
    <w:name w:val="xl27"/>
    <w:basedOn w:val="1"/>
    <w:next w:val="1"/>
    <w:qFormat/>
    <w:uiPriority w:val="0"/>
    <w:pPr>
      <w:widowControl/>
      <w:spacing w:before="100" w:beforeAutospacing="1" w:after="100" w:afterAutospacing="1"/>
      <w:jc w:val="left"/>
    </w:pPr>
    <w:rPr>
      <w:color w:val="FF0000"/>
      <w:kern w:val="0"/>
    </w:rPr>
  </w:style>
  <w:style w:type="paragraph" w:styleId="6">
    <w:name w:val="Body Text Indent"/>
    <w:basedOn w:val="1"/>
    <w:next w:val="7"/>
    <w:qFormat/>
    <w:uiPriority w:val="0"/>
    <w:pPr>
      <w:spacing w:after="120"/>
      <w:ind w:left="420" w:leftChars="200"/>
    </w:pPr>
  </w:style>
  <w:style w:type="paragraph" w:styleId="7">
    <w:name w:val="Body Text First Indent 2"/>
    <w:basedOn w:val="6"/>
    <w:next w:val="8"/>
    <w:qFormat/>
    <w:uiPriority w:val="0"/>
    <w:pPr>
      <w:ind w:firstLine="420"/>
    </w:pPr>
  </w:style>
  <w:style w:type="paragraph" w:styleId="8">
    <w:name w:val="Body Text First Indent"/>
    <w:basedOn w:val="2"/>
    <w:next w:val="1"/>
    <w:qFormat/>
    <w:uiPriority w:val="0"/>
    <w:pPr>
      <w:adjustRightInd w:val="0"/>
      <w:snapToGrid w:val="0"/>
      <w:spacing w:after="0" w:line="360" w:lineRule="auto"/>
      <w:ind w:firstLine="200"/>
      <w:jc w:val="both"/>
    </w:pPr>
    <w:rPr>
      <w:kern w:val="2"/>
      <w:sz w:val="24"/>
    </w:rPr>
  </w:style>
  <w:style w:type="paragraph" w:customStyle="1" w:styleId="11">
    <w:name w:val="四级条标题"/>
    <w:basedOn w:val="12"/>
    <w:next w:val="16"/>
    <w:qFormat/>
    <w:uiPriority w:val="0"/>
    <w:pPr>
      <w:widowControl/>
      <w:numPr>
        <w:ilvl w:val="3"/>
        <w:numId w:val="0"/>
      </w:numPr>
      <w:tabs>
        <w:tab w:val="left" w:pos="945"/>
        <w:tab w:val="left" w:pos="1260"/>
        <w:tab w:val="left" w:pos="1680"/>
      </w:tabs>
      <w:outlineLvl w:val="5"/>
    </w:pPr>
    <w:rPr>
      <w:rFonts w:ascii="黑体" w:eastAsia="黑体"/>
      <w:kern w:val="0"/>
      <w:szCs w:val="20"/>
    </w:rPr>
  </w:style>
  <w:style w:type="paragraph" w:customStyle="1" w:styleId="12">
    <w:name w:val="三级条标题"/>
    <w:basedOn w:val="13"/>
    <w:next w:val="16"/>
    <w:qFormat/>
    <w:uiPriority w:val="0"/>
    <w:pPr>
      <w:numPr>
        <w:ilvl w:val="3"/>
        <w:numId w:val="0"/>
      </w:numPr>
      <w:tabs>
        <w:tab w:val="left" w:pos="945"/>
        <w:tab w:val="left" w:pos="1260"/>
        <w:tab w:val="left" w:pos="1680"/>
      </w:tabs>
      <w:outlineLvl w:val="4"/>
    </w:pPr>
  </w:style>
  <w:style w:type="paragraph" w:customStyle="1" w:styleId="13">
    <w:name w:val="二级条标题"/>
    <w:basedOn w:val="14"/>
    <w:next w:val="16"/>
    <w:qFormat/>
    <w:uiPriority w:val="0"/>
    <w:pPr>
      <w:numPr>
        <w:ilvl w:val="3"/>
        <w:numId w:val="1"/>
      </w:numPr>
      <w:tabs>
        <w:tab w:val="left" w:pos="945"/>
        <w:tab w:val="left" w:pos="1260"/>
      </w:tabs>
      <w:outlineLvl w:val="3"/>
    </w:pPr>
  </w:style>
  <w:style w:type="paragraph" w:customStyle="1" w:styleId="14">
    <w:name w:val="一级条标题"/>
    <w:basedOn w:val="15"/>
    <w:next w:val="16"/>
    <w:qFormat/>
    <w:uiPriority w:val="0"/>
    <w:pPr>
      <w:numPr>
        <w:ilvl w:val="2"/>
        <w:numId w:val="1"/>
      </w:numPr>
      <w:tabs>
        <w:tab w:val="left" w:pos="945"/>
      </w:tabs>
      <w:spacing w:before="0" w:beforeLines="0" w:after="0" w:afterLines="0"/>
      <w:outlineLvl w:val="2"/>
    </w:pPr>
  </w:style>
  <w:style w:type="paragraph" w:customStyle="1" w:styleId="15">
    <w:name w:val="章标题"/>
    <w:next w:val="16"/>
    <w:qFormat/>
    <w:uiPriority w:val="0"/>
    <w:pPr>
      <w:numPr>
        <w:ilvl w:val="1"/>
        <w:numId w:val="2"/>
      </w:numPr>
      <w:spacing w:before="50" w:after="50"/>
      <w:jc w:val="both"/>
      <w:outlineLvl w:val="1"/>
    </w:pPr>
    <w:rPr>
      <w:rFonts w:ascii="黑体" w:hAnsi="Calibri" w:eastAsia="黑体" w:cs="Times New Roman"/>
      <w:sz w:val="21"/>
      <w:lang w:val="en-US" w:eastAsia="zh-CN" w:bidi="ar-SA"/>
    </w:rPr>
  </w:style>
  <w:style w:type="paragraph" w:customStyle="1" w:styleId="16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  <w:style w:type="paragraph" w:customStyle="1" w:styleId="17">
    <w:name w:val="Date1"/>
    <w:basedOn w:val="1"/>
    <w:next w:val="1"/>
    <w:qFormat/>
    <w:uiPriority w:val="0"/>
    <w:pPr>
      <w:adjustRightInd w:val="0"/>
      <w:jc w:val="left"/>
      <w:textAlignment w:val="baseline"/>
    </w:pPr>
    <w:rPr>
      <w:rFonts w:ascii="宋体" w:hAnsi="宋体"/>
      <w:sz w:val="28"/>
      <w:szCs w:val="20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167</Words>
  <Characters>955</Characters>
  <Lines>7</Lines>
  <Paragraphs>2</Paragraphs>
  <TotalTime>206</TotalTime>
  <ScaleCrop>false</ScaleCrop>
  <LinksUpToDate>false</LinksUpToDate>
  <CharactersWithSpaces>1120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2020-07-12T13:16:00Z</dcterms:created>
  <dc:creator>Lenovo</dc:creator>
  <cp:lastModifiedBy>zp</cp:lastModifiedBy>
  <cp:lastPrinted>2021-11-30T03:15:02Z</cp:lastPrinted>
  <dcterms:modified xsi:type="dcterms:W3CDTF">2021-11-30T06:37:24Z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B2CD945BD8024E548F28ECDD5A1AA361</vt:lpwstr>
  </property>
</Properties>
</file>