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岳君环评〔202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关于湖南依姿玛婴幼儿用品（年产婴儿推车100万台、婴儿床30万台、婴儿用品配件30万件）生产项目环境影响报告表的审批意见</w:t>
      </w:r>
    </w:p>
    <w:p>
      <w:pPr>
        <w:spacing w:line="360" w:lineRule="auto"/>
        <w:rPr>
          <w:sz w:val="24"/>
          <w:szCs w:val="24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湖南依姿玛婴幼儿用品有限公司：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你公司报送的《湖南依姿玛婴幼儿用品（年产婴儿推车100万台、婴儿床30万台、婴儿用品配件30万件）生产项目环境影响报告表》已收悉。我局按照建设项目管理有关规定对该项目进行审查，经研究，批复如下：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湖南依姿玛婴幼儿用品有限公司拟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在湖南省岳阳市君山区 工业园标准化厂房B区18号</w:t>
      </w:r>
      <w:r>
        <w:rPr>
          <w:rFonts w:hint="eastAsia" w:ascii="仿宋" w:hAnsi="仿宋" w:eastAsia="仿宋" w:cs="仿宋"/>
          <w:sz w:val="30"/>
          <w:szCs w:val="30"/>
        </w:rPr>
        <w:t>新建年产婴儿推车100万台、婴儿床30万台、婴儿用品配件30万件生产项目。项目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用地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面积21120m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，总投资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5000</w:t>
      </w:r>
      <w:r>
        <w:rPr>
          <w:rFonts w:hint="eastAsia" w:ascii="仿宋" w:hAnsi="仿宋" w:eastAsia="仿宋" w:cs="仿宋"/>
          <w:sz w:val="30"/>
          <w:szCs w:val="30"/>
        </w:rPr>
        <w:t>万元，其中环保投资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万元。项目主要建设内容为主体工程、仓储工程、辅助工程、公用工程及环保工程。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主体工程分为两栋厂房，其中B栋厂房一楼为冲压车间、二楼为组装车间、三楼为裁床生产车间，C栋厂房一楼为注塑车间及模具部、二楼为组装车间、三楼为针车车间</w:t>
      </w:r>
      <w:r>
        <w:rPr>
          <w:rFonts w:hint="eastAsia" w:ascii="仿宋" w:hAnsi="仿宋" w:eastAsia="仿宋" w:cs="仿宋"/>
          <w:sz w:val="30"/>
          <w:szCs w:val="30"/>
        </w:rPr>
        <w:t>。根据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湖南博咨环境技术咨询服务有限公司</w:t>
      </w:r>
      <w:r>
        <w:rPr>
          <w:rFonts w:hint="eastAsia" w:ascii="仿宋" w:hAnsi="仿宋" w:eastAsia="仿宋" w:cs="仿宋"/>
          <w:sz w:val="30"/>
          <w:szCs w:val="30"/>
        </w:rPr>
        <w:t>编制的《湖南依姿玛婴幼儿用品（年产婴儿推车100万台、婴儿床30万台、婴儿用品配件30万件）生产项目环境影响报告表》基本内容、结论、专家评审意见，综合考虑，我局原则同意你公司环境影响报告表中所列建设项目的性质、规模、工艺、地点和环境保护对策措施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一、认真落实专家及环境影响报告表中提出的各项污染防治措施，并应着重注意以下问题：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bookmarkStart w:id="0" w:name="OLE_LINK5"/>
      <w:r>
        <w:rPr>
          <w:rFonts w:hint="eastAsia" w:ascii="仿宋" w:hAnsi="仿宋" w:eastAsia="仿宋" w:cs="仿宋"/>
          <w:sz w:val="30"/>
          <w:szCs w:val="30"/>
        </w:rPr>
        <w:t>（一）</w:t>
      </w:r>
      <w:bookmarkEnd w:id="0"/>
      <w:bookmarkStart w:id="1" w:name="OLE_LINK1"/>
      <w:r>
        <w:rPr>
          <w:rFonts w:hint="eastAsia" w:ascii="仿宋" w:hAnsi="仿宋" w:eastAsia="仿宋" w:cs="仿宋"/>
          <w:sz w:val="30"/>
          <w:szCs w:val="30"/>
        </w:rPr>
        <w:t>切实做好施工期环境保护工作。落实环境影响评价文件提出的各项施工期污防措施，尽量缩短施工期，合理布局施工机械，对施工场地采取围挡、加盖篷布、洒水降尘等抑尘措施，禁止在大风天作业，渣土物料运输采用密闭或其他遮覆方式，有效减轻施工及运输的扬尘污染影响；选用低噪声施工设备，合理安排施工时间，减少噪声对周边环境的影响；施工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生产</w:t>
      </w:r>
      <w:r>
        <w:rPr>
          <w:rFonts w:hint="eastAsia" w:ascii="仿宋" w:hAnsi="仿宋" w:eastAsia="仿宋" w:cs="仿宋"/>
          <w:sz w:val="30"/>
          <w:szCs w:val="30"/>
        </w:rPr>
        <w:t>废水经沉淀后回用，生活污水经化粪池处理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后通过园区污水管网进入君山区第二污水处理厂预处理中心</w:t>
      </w:r>
      <w:r>
        <w:rPr>
          <w:rFonts w:hint="eastAsia" w:ascii="仿宋" w:hAnsi="仿宋" w:eastAsia="仿宋" w:cs="仿宋"/>
          <w:sz w:val="30"/>
          <w:szCs w:val="30"/>
        </w:rPr>
        <w:t>；施工期固废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综合利用</w:t>
      </w:r>
      <w:r>
        <w:rPr>
          <w:rFonts w:hint="eastAsia" w:ascii="仿宋" w:hAnsi="仿宋" w:eastAsia="仿宋" w:cs="仿宋"/>
          <w:sz w:val="30"/>
          <w:szCs w:val="30"/>
        </w:rPr>
        <w:t>，生活垃圾定点收集，由环卫部门统一收集处理。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（二）废水污染防治。项目实行雨、污分流，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冷却水循环使用不外排，生活污水经化粪池、隔油沉淀池处理达到</w:t>
      </w:r>
      <w:r>
        <w:rPr>
          <w:rFonts w:hint="eastAsia" w:ascii="仿宋" w:hAnsi="仿宋" w:eastAsia="仿宋" w:cs="仿宋"/>
          <w:sz w:val="30"/>
          <w:szCs w:val="30"/>
        </w:rPr>
        <w:t>君山区第二污水处理厂预处理中心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接纳标准</w:t>
      </w:r>
      <w:r>
        <w:rPr>
          <w:rFonts w:hint="eastAsia" w:ascii="仿宋" w:hAnsi="仿宋" w:eastAsia="仿宋" w:cs="仿宋"/>
          <w:sz w:val="30"/>
          <w:szCs w:val="30"/>
        </w:rPr>
        <w:t>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一起排</w:t>
      </w:r>
      <w:r>
        <w:rPr>
          <w:rFonts w:hint="eastAsia" w:ascii="仿宋" w:hAnsi="仿宋" w:eastAsia="仿宋" w:cs="仿宋"/>
          <w:sz w:val="30"/>
          <w:szCs w:val="30"/>
        </w:rPr>
        <w:t>入君山区第二污水处理厂预处理中心进行处理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最终进入</w:t>
      </w:r>
      <w:r>
        <w:rPr>
          <w:rFonts w:hint="eastAsia" w:ascii="仿宋" w:hAnsi="仿宋" w:eastAsia="仿宋" w:cs="仿宋"/>
          <w:sz w:val="30"/>
          <w:szCs w:val="30"/>
        </w:rPr>
        <w:t>君山区第二污水处理厂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处理后外排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（三）大气污染防治。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注塑工艺产生的废气经过二级活性炭吸附处理满足《合成树脂工业污染物排放标准》（GB31572-2015）中表4大气污染物排放限值后再通过23m排气筒排放，油烟废气经油烟净化设施处理满足《饮食业油烟排放标准》（GB 18483-2001）的要求后，通过高于屋顶的排放口进行排放。生产车间内机械通风，保持空气流通，合理平面布局，加强厂区绿化，采取有效防止措施减少无组织废气排放的影响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（四）噪声污染防治。选用低噪声设备、合理平面布局，确保厂界噪声达到《工业企业厂界环境噪声排放标准》（GB 12348-2008）3类标准要求。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五）固体废物污染防治。严格按照《危险废物贮存污染控制标准》(GB18597-2001)的相关要求设置危险固废暂存库，机加工设备过滤时产生的废金属渣、废机油、废润滑油、废切削液、废活性炭收集于危废暂存间后交由有资质单位进行处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认真落实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</w:t>
      </w:r>
      <w:r>
        <w:rPr>
          <w:rFonts w:hint="eastAsia" w:ascii="仿宋" w:hAnsi="仿宋" w:eastAsia="仿宋" w:cs="仿宋"/>
          <w:sz w:val="30"/>
          <w:szCs w:val="30"/>
        </w:rPr>
        <w:t>固废分类收集、处置和综合利用措施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生活垃圾由环卫部门定期清运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加强环境管理，建立健全的污染防治设施运行管理台帐，设专门的环保机构，配备专人负责环保工作，确保各项污染防治设施正常运行，各类污染物稳定达标排放。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二、你单位应在收到本批复后15个工作日内，将批复及该项目环评报批稿送至岳阳市君山区环境监察大队、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岳阳市君山区工业园管理委员会、湖南博咨环境技术咨询服务有限公司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三、岳阳市君山区环境监察大队负责项目建设期的日常环境监管。</w:t>
      </w:r>
      <w:bookmarkEnd w:id="1"/>
    </w:p>
    <w:p>
      <w:pPr>
        <w:spacing w:line="520" w:lineRule="exact"/>
        <w:ind w:firstLine="4480" w:firstLineChars="14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  <w:bookmarkStart w:id="2" w:name="_GoBack"/>
      <w:bookmarkEnd w:id="2"/>
    </w:p>
    <w:p>
      <w:pPr>
        <w:spacing w:line="520" w:lineRule="exact"/>
        <w:ind w:firstLine="4480" w:firstLineChars="1400"/>
        <w:rPr>
          <w:rFonts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岳阳市生态环境局</w:t>
      </w:r>
    </w:p>
    <w:p>
      <w:pPr>
        <w:spacing w:line="520" w:lineRule="exact"/>
        <w:ind w:firstLine="448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4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D851E95"/>
    <w:multiLevelType w:val="multilevel"/>
    <w:tmpl w:val="1D851E95"/>
    <w:lvl w:ilvl="0" w:tentative="0">
      <w:start w:val="1"/>
      <w:numFmt w:val="japaneseCounting"/>
      <w:lvlText w:val="%1、"/>
      <w:lvlJc w:val="left"/>
      <w:pPr>
        <w:tabs>
          <w:tab w:val="left" w:pos="585"/>
        </w:tabs>
        <w:ind w:left="585" w:hanging="480"/>
      </w:pPr>
      <w:rPr>
        <w:rFonts w:hint="default"/>
      </w:rPr>
    </w:lvl>
    <w:lvl w:ilvl="1" w:tentative="0">
      <w:start w:val="1"/>
      <w:numFmt w:val="lowerLetter"/>
      <w:pStyle w:val="6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6627A"/>
    <w:rsid w:val="0049144E"/>
    <w:rsid w:val="004D382B"/>
    <w:rsid w:val="0082775E"/>
    <w:rsid w:val="00A92163"/>
    <w:rsid w:val="00DC5F66"/>
    <w:rsid w:val="00F767C8"/>
    <w:rsid w:val="04C6627A"/>
    <w:rsid w:val="0A686B0F"/>
    <w:rsid w:val="0CA723DA"/>
    <w:rsid w:val="153174E5"/>
    <w:rsid w:val="270F17DF"/>
    <w:rsid w:val="33016AC8"/>
    <w:rsid w:val="3E9446C3"/>
    <w:rsid w:val="49D84385"/>
    <w:rsid w:val="557430F7"/>
    <w:rsid w:val="6CE90D53"/>
    <w:rsid w:val="7C8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pBdr>
        <w:bottom w:val="single" w:color="5B9BD5" w:themeColor="accent1" w:sz="8" w:space="1"/>
      </w:pBdr>
      <w:spacing w:before="20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paragraph" w:styleId="9">
    <w:name w:val="heading 3"/>
    <w:basedOn w:val="8"/>
    <w:next w:val="1"/>
    <w:unhideWhenUsed/>
    <w:qFormat/>
    <w:uiPriority w:val="9"/>
    <w:pPr>
      <w:pBdr>
        <w:bottom w:val="single" w:color="9CC2E5" w:themeColor="accent1" w:themeTint="99" w:sz="4" w:space="1"/>
      </w:pBdr>
      <w:outlineLvl w:val="2"/>
    </w:pPr>
    <w:rPr>
      <w:color w:val="5B9BD5" w:themeColor="accent1"/>
      <w14:textFill>
        <w14:solidFill>
          <w14:schemeClr w14:val="accent1"/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条标题"/>
    <w:basedOn w:val="3"/>
    <w:next w:val="7"/>
    <w:qFormat/>
    <w:uiPriority w:val="0"/>
    <w:pPr>
      <w:widowControl/>
      <w:numPr>
        <w:ilvl w:val="3"/>
        <w:numId w:val="0"/>
      </w:numPr>
      <w:tabs>
        <w:tab w:val="left" w:pos="945"/>
        <w:tab w:val="left" w:pos="1260"/>
        <w:tab w:val="left" w:pos="1680"/>
      </w:tabs>
      <w:outlineLvl w:val="5"/>
    </w:pPr>
    <w:rPr>
      <w:rFonts w:ascii="黑体" w:eastAsia="黑体"/>
      <w:kern w:val="0"/>
      <w:szCs w:val="20"/>
    </w:rPr>
  </w:style>
  <w:style w:type="paragraph" w:customStyle="1" w:styleId="3">
    <w:name w:val="三级条标题"/>
    <w:basedOn w:val="4"/>
    <w:next w:val="7"/>
    <w:qFormat/>
    <w:uiPriority w:val="0"/>
    <w:pPr>
      <w:numPr>
        <w:ilvl w:val="3"/>
        <w:numId w:val="0"/>
      </w:numPr>
      <w:tabs>
        <w:tab w:val="left" w:pos="945"/>
        <w:tab w:val="left" w:pos="1260"/>
        <w:tab w:val="left" w:pos="1680"/>
      </w:tabs>
      <w:outlineLvl w:val="4"/>
    </w:pPr>
  </w:style>
  <w:style w:type="paragraph" w:customStyle="1" w:styleId="4">
    <w:name w:val="二级条标题"/>
    <w:basedOn w:val="5"/>
    <w:next w:val="7"/>
    <w:qFormat/>
    <w:uiPriority w:val="0"/>
    <w:pPr>
      <w:numPr>
        <w:ilvl w:val="3"/>
        <w:numId w:val="1"/>
      </w:numPr>
      <w:tabs>
        <w:tab w:val="left" w:pos="945"/>
        <w:tab w:val="left" w:pos="1260"/>
      </w:tabs>
      <w:outlineLvl w:val="3"/>
    </w:pPr>
  </w:style>
  <w:style w:type="paragraph" w:customStyle="1" w:styleId="5">
    <w:name w:val="一级条标题"/>
    <w:basedOn w:val="6"/>
    <w:next w:val="7"/>
    <w:qFormat/>
    <w:uiPriority w:val="0"/>
    <w:pPr>
      <w:numPr>
        <w:ilvl w:val="2"/>
        <w:numId w:val="1"/>
      </w:numPr>
      <w:tabs>
        <w:tab w:val="left" w:pos="945"/>
      </w:tabs>
      <w:spacing w:before="0" w:beforeLines="0" w:after="0" w:afterLines="0"/>
      <w:outlineLvl w:val="2"/>
    </w:pPr>
  </w:style>
  <w:style w:type="paragraph" w:customStyle="1" w:styleId="6">
    <w:name w:val="章标题"/>
    <w:next w:val="7"/>
    <w:qFormat/>
    <w:uiPriority w:val="0"/>
    <w:pPr>
      <w:numPr>
        <w:ilvl w:val="1"/>
        <w:numId w:val="2"/>
      </w:numPr>
      <w:spacing w:before="50" w:after="5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10">
    <w:name w:val="Body Text"/>
    <w:basedOn w:val="1"/>
    <w:next w:val="1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11">
    <w:name w:val="xl27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</w:r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</w:style>
  <w:style w:type="paragraph" w:styleId="13">
    <w:name w:val="Body Text First Indent 2"/>
    <w:basedOn w:val="12"/>
    <w:next w:val="14"/>
    <w:qFormat/>
    <w:uiPriority w:val="0"/>
    <w:pPr>
      <w:ind w:firstLine="420"/>
    </w:pPr>
  </w:style>
  <w:style w:type="paragraph" w:styleId="14">
    <w:name w:val="Body Text First Indent"/>
    <w:basedOn w:val="10"/>
    <w:next w:val="1"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17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955</Characters>
  <Lines>7</Lines>
  <Paragraphs>2</Paragraphs>
  <TotalTime>2</TotalTime>
  <ScaleCrop>false</ScaleCrop>
  <LinksUpToDate>false</LinksUpToDate>
  <CharactersWithSpaces>1120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2020-07-12T13:16:00Z</dcterms:created>
  <dc:creator>Lenovo</dc:creator>
  <cp:lastModifiedBy>zp</cp:lastModifiedBy>
  <cp:lastPrinted>2021-11-03T03:10:00Z</cp:lastPrinted>
  <dcterms:modified xsi:type="dcterms:W3CDTF">2021-11-26T06:39:02Z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B7B80186F6494EFD9A0CE346ACF08273</vt:lpwstr>
  </property>
</Properties>
</file>