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0"/>
          <w:szCs w:val="24"/>
        </w:rPr>
      </w:pPr>
    </w:p>
    <w:p>
      <w:pPr>
        <w:spacing w:line="360" w:lineRule="auto"/>
        <w:jc w:val="center"/>
        <w:rPr>
          <w:sz w:val="30"/>
          <w:szCs w:val="24"/>
        </w:rPr>
      </w:pPr>
    </w:p>
    <w:p>
      <w:pPr>
        <w:spacing w:line="360" w:lineRule="auto"/>
        <w:jc w:val="center"/>
        <w:rPr>
          <w:sz w:val="30"/>
          <w:szCs w:val="24"/>
        </w:rPr>
      </w:pPr>
    </w:p>
    <w:p>
      <w:pPr>
        <w:jc w:val="right"/>
        <w:rPr>
          <w:rFonts w:ascii="仿宋" w:hAnsi="仿宋" w:eastAsia="仿宋" w:cs="仿宋"/>
          <w:sz w:val="30"/>
          <w:szCs w:val="30"/>
        </w:rPr>
      </w:pPr>
    </w:p>
    <w:p>
      <w:pPr>
        <w:jc w:val="right"/>
        <w:rPr>
          <w:rFonts w:ascii="仿宋" w:hAnsi="仿宋" w:eastAsia="仿宋" w:cs="仿宋"/>
          <w:sz w:val="30"/>
          <w:szCs w:val="30"/>
        </w:rPr>
      </w:pPr>
      <w:r>
        <w:rPr>
          <w:rFonts w:hint="eastAsia" w:ascii="仿宋" w:hAnsi="仿宋" w:eastAsia="仿宋" w:cs="仿宋"/>
          <w:sz w:val="30"/>
          <w:szCs w:val="30"/>
        </w:rPr>
        <w:t>岳环君分环评批〔202</w:t>
      </w:r>
      <w:r>
        <w:rPr>
          <w:rFonts w:hint="eastAsia" w:ascii="仿宋" w:hAnsi="仿宋" w:eastAsia="仿宋" w:cs="仿宋"/>
          <w:sz w:val="30"/>
          <w:szCs w:val="30"/>
          <w:lang w:eastAsia="zh-CN"/>
        </w:rPr>
        <w:t>1</w:t>
      </w: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号</w:t>
      </w:r>
    </w:p>
    <w:p>
      <w:pPr>
        <w:spacing w:line="360" w:lineRule="auto"/>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关于君山牲猪屠宰场迁建项目环境影响报告表的审批意见</w:t>
      </w:r>
    </w:p>
    <w:p>
      <w:pPr>
        <w:spacing w:line="360" w:lineRule="auto"/>
        <w:rPr>
          <w:sz w:val="24"/>
          <w:szCs w:val="24"/>
        </w:rPr>
      </w:pPr>
    </w:p>
    <w:p>
      <w:pPr>
        <w:rPr>
          <w:rFonts w:ascii="仿宋" w:hAnsi="仿宋" w:eastAsia="仿宋" w:cs="仿宋"/>
          <w:sz w:val="30"/>
          <w:szCs w:val="30"/>
        </w:rPr>
      </w:pPr>
      <w:r>
        <w:rPr>
          <w:rFonts w:hint="eastAsia" w:ascii="仿宋" w:hAnsi="仿宋" w:eastAsia="仿宋" w:cs="仿宋"/>
          <w:sz w:val="30"/>
          <w:szCs w:val="30"/>
        </w:rPr>
        <w:t>岳阳市君山区城市建设投资有限公司：</w:t>
      </w:r>
    </w:p>
    <w:p>
      <w:pPr>
        <w:ind w:firstLine="600" w:firstLineChars="200"/>
        <w:rPr>
          <w:rFonts w:ascii="仿宋" w:hAnsi="仿宋" w:eastAsia="仿宋" w:cs="仿宋"/>
          <w:sz w:val="30"/>
          <w:szCs w:val="30"/>
        </w:rPr>
      </w:pPr>
      <w:r>
        <w:rPr>
          <w:rFonts w:hint="eastAsia" w:ascii="仿宋" w:hAnsi="仿宋" w:eastAsia="仿宋" w:cs="仿宋"/>
          <w:sz w:val="30"/>
          <w:szCs w:val="30"/>
        </w:rPr>
        <w:t>你公司报送的《君山牲猪屠宰场迁建项目环境影响报告表》已收悉。我局按照建设项目管理有关规定</w:t>
      </w:r>
      <w:bookmarkStart w:id="2" w:name="_GoBack"/>
      <w:bookmarkEnd w:id="2"/>
      <w:r>
        <w:rPr>
          <w:rFonts w:hint="eastAsia" w:ascii="仿宋" w:hAnsi="仿宋" w:eastAsia="仿宋" w:cs="仿宋"/>
          <w:sz w:val="30"/>
          <w:szCs w:val="30"/>
        </w:rPr>
        <w:t>对该项目进行审查，经研究，批复如下：</w:t>
      </w:r>
    </w:p>
    <w:p>
      <w:pPr>
        <w:ind w:firstLine="600" w:firstLineChars="200"/>
        <w:rPr>
          <w:rFonts w:ascii="仿宋" w:hAnsi="仿宋" w:eastAsia="仿宋" w:cs="仿宋"/>
          <w:sz w:val="30"/>
          <w:szCs w:val="30"/>
        </w:rPr>
      </w:pPr>
      <w:r>
        <w:rPr>
          <w:rFonts w:hint="eastAsia" w:ascii="仿宋" w:hAnsi="仿宋" w:eastAsia="仿宋" w:cs="仿宋"/>
          <w:sz w:val="30"/>
          <w:szCs w:val="30"/>
        </w:rPr>
        <w:t>岳阳市君山区城市建设投资有限公司拟</w:t>
      </w:r>
      <w:r>
        <w:rPr>
          <w:rFonts w:hint="eastAsia" w:ascii="仿宋" w:hAnsi="仿宋" w:eastAsia="仿宋" w:cs="仿宋"/>
          <w:sz w:val="30"/>
          <w:szCs w:val="30"/>
          <w:lang w:val="en-US" w:eastAsia="zh-CN"/>
        </w:rPr>
        <w:t>将君山区</w:t>
      </w:r>
      <w:r>
        <w:rPr>
          <w:rFonts w:hint="eastAsia" w:ascii="仿宋" w:hAnsi="仿宋" w:eastAsia="仿宋" w:cs="仿宋"/>
          <w:sz w:val="30"/>
          <w:szCs w:val="30"/>
        </w:rPr>
        <w:t>牲猪屠宰场</w:t>
      </w:r>
      <w:r>
        <w:rPr>
          <w:rFonts w:hint="eastAsia" w:ascii="仿宋" w:hAnsi="仿宋" w:eastAsia="仿宋" w:cs="仿宋"/>
          <w:sz w:val="30"/>
          <w:szCs w:val="30"/>
          <w:lang w:val="en-US" w:eastAsia="zh-CN"/>
        </w:rPr>
        <w:t>迁建至君山区柳林洲街道办事处长沟子村，迁建后君山区</w:t>
      </w:r>
      <w:r>
        <w:rPr>
          <w:rFonts w:hint="eastAsia" w:ascii="仿宋" w:hAnsi="仿宋" w:eastAsia="仿宋" w:cs="仿宋"/>
          <w:sz w:val="30"/>
          <w:szCs w:val="30"/>
        </w:rPr>
        <w:t>牲猪屠宰场年屠宰6万头生猪、30万只鸡鸭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项目</w:t>
      </w:r>
      <w:r>
        <w:rPr>
          <w:rFonts w:hint="eastAsia" w:ascii="仿宋" w:hAnsi="仿宋" w:eastAsia="仿宋" w:cs="仿宋"/>
          <w:sz w:val="30"/>
          <w:szCs w:val="30"/>
        </w:rPr>
        <w:t>占地面积5329.64m</w:t>
      </w:r>
      <w:r>
        <w:rPr>
          <w:rFonts w:hint="eastAsia" w:ascii="仿宋" w:hAnsi="仿宋" w:eastAsia="仿宋" w:cs="仿宋"/>
          <w:sz w:val="30"/>
          <w:szCs w:val="30"/>
          <w:vertAlign w:val="superscript"/>
        </w:rPr>
        <w:t>2</w:t>
      </w:r>
      <w:r>
        <w:rPr>
          <w:rFonts w:hint="eastAsia" w:ascii="仿宋" w:hAnsi="仿宋" w:eastAsia="仿宋" w:cs="仿宋"/>
          <w:sz w:val="30"/>
          <w:szCs w:val="30"/>
        </w:rPr>
        <w:t>，建筑面积3863.1m</w:t>
      </w:r>
      <w:r>
        <w:rPr>
          <w:rFonts w:hint="eastAsia" w:ascii="仿宋" w:hAnsi="仿宋" w:eastAsia="仿宋" w:cs="仿宋"/>
          <w:sz w:val="30"/>
          <w:szCs w:val="30"/>
          <w:vertAlign w:val="superscript"/>
        </w:rPr>
        <w:t>2</w:t>
      </w:r>
      <w:r>
        <w:rPr>
          <w:rFonts w:hint="eastAsia" w:ascii="仿宋" w:hAnsi="仿宋" w:eastAsia="仿宋" w:cs="仿宋"/>
          <w:sz w:val="30"/>
          <w:szCs w:val="30"/>
          <w:vertAlign w:val="baseline"/>
          <w:lang w:eastAsia="zh-CN"/>
        </w:rPr>
        <w:t>，</w:t>
      </w:r>
      <w:r>
        <w:rPr>
          <w:rFonts w:hint="eastAsia" w:ascii="仿宋" w:hAnsi="仿宋" w:eastAsia="仿宋" w:cs="仿宋"/>
          <w:sz w:val="30"/>
          <w:szCs w:val="30"/>
          <w:lang w:val="en-US" w:eastAsia="zh-CN"/>
        </w:rPr>
        <w:t>总投资1000万元，其中环保投资78.8万元。</w:t>
      </w:r>
      <w:r>
        <w:rPr>
          <w:rFonts w:hint="eastAsia" w:ascii="仿宋" w:hAnsi="仿宋" w:eastAsia="仿宋" w:cs="仿宋"/>
          <w:sz w:val="30"/>
          <w:szCs w:val="30"/>
        </w:rPr>
        <w:t>项目主要建设内容为6万头生猪屠宰生产车间</w:t>
      </w:r>
      <w:r>
        <w:rPr>
          <w:rFonts w:hint="eastAsia" w:ascii="仿宋" w:hAnsi="仿宋" w:eastAsia="仿宋" w:cs="仿宋"/>
          <w:sz w:val="30"/>
          <w:szCs w:val="30"/>
          <w:lang w:eastAsia="zh-CN"/>
        </w:rPr>
        <w:t>，</w:t>
      </w:r>
      <w:r>
        <w:rPr>
          <w:rFonts w:hint="eastAsia" w:ascii="仿宋" w:hAnsi="仿宋" w:eastAsia="仿宋" w:cs="仿宋"/>
          <w:sz w:val="30"/>
          <w:szCs w:val="30"/>
        </w:rPr>
        <w:t>30万只鸡鸭宰杀生产车间</w:t>
      </w:r>
      <w:r>
        <w:rPr>
          <w:rFonts w:hint="eastAsia" w:ascii="仿宋" w:hAnsi="仿宋" w:eastAsia="仿宋" w:cs="仿宋"/>
          <w:sz w:val="30"/>
          <w:szCs w:val="30"/>
          <w:lang w:eastAsia="zh-CN"/>
        </w:rPr>
        <w:t>，</w:t>
      </w:r>
      <w:r>
        <w:rPr>
          <w:rFonts w:hint="eastAsia" w:ascii="仿宋" w:hAnsi="仿宋" w:eastAsia="仿宋" w:cs="仿宋"/>
          <w:sz w:val="30"/>
          <w:szCs w:val="30"/>
        </w:rPr>
        <w:t>相关</w:t>
      </w:r>
      <w:r>
        <w:rPr>
          <w:rFonts w:hint="eastAsia" w:ascii="仿宋" w:hAnsi="仿宋" w:eastAsia="仿宋" w:cs="仿宋"/>
          <w:sz w:val="30"/>
          <w:szCs w:val="30"/>
          <w:lang w:val="en-US" w:eastAsia="zh-CN"/>
        </w:rPr>
        <w:t>辅助工程，废水、废气处理设施等环保工程，主要设备有活挂麻电输送机、洗猪机、锚链悬挂宰杀线及1台0.8t/h电锅炉等</w:t>
      </w:r>
      <w:r>
        <w:rPr>
          <w:rFonts w:hint="eastAsia" w:ascii="仿宋" w:hAnsi="仿宋" w:eastAsia="仿宋" w:cs="仿宋"/>
          <w:sz w:val="30"/>
          <w:szCs w:val="30"/>
        </w:rPr>
        <w:t>。根据湖南创佳环保有限公司编制的《君山牲猪屠宰场迁建项目环境影响报告表》基本内容、结论、专家评审意见，综合考虑，我局原则同意你公司环境影响报告表中所列建设项目的性质、规模、工艺、地点和环境保护对策措施。</w:t>
      </w:r>
    </w:p>
    <w:p>
      <w:pPr>
        <w:ind w:firstLine="600" w:firstLineChars="200"/>
        <w:rPr>
          <w:rFonts w:ascii="仿宋" w:hAnsi="仿宋" w:eastAsia="仿宋" w:cs="仿宋"/>
          <w:sz w:val="30"/>
          <w:szCs w:val="30"/>
        </w:rPr>
      </w:pPr>
      <w:r>
        <w:rPr>
          <w:rFonts w:hint="eastAsia" w:ascii="仿宋" w:hAnsi="仿宋" w:eastAsia="仿宋" w:cs="仿宋"/>
          <w:sz w:val="30"/>
          <w:szCs w:val="30"/>
        </w:rPr>
        <w:t>一、认真落实专家及环境影响报告表中提出的各项污染防治措施，并应着重注意以下问题：</w:t>
      </w:r>
    </w:p>
    <w:p>
      <w:pPr>
        <w:ind w:firstLine="600" w:firstLineChars="200"/>
        <w:rPr>
          <w:rFonts w:ascii="仿宋" w:hAnsi="仿宋" w:eastAsia="仿宋" w:cs="仿宋"/>
          <w:sz w:val="30"/>
          <w:szCs w:val="30"/>
        </w:rPr>
      </w:pPr>
      <w:bookmarkStart w:id="0" w:name="OLE_LINK5"/>
      <w:r>
        <w:rPr>
          <w:rFonts w:hint="eastAsia" w:ascii="仿宋" w:hAnsi="仿宋" w:eastAsia="仿宋" w:cs="仿宋"/>
          <w:sz w:val="30"/>
          <w:szCs w:val="30"/>
        </w:rPr>
        <w:t>（一）</w:t>
      </w:r>
      <w:bookmarkEnd w:id="0"/>
      <w:bookmarkStart w:id="1" w:name="OLE_LINK1"/>
      <w:r>
        <w:rPr>
          <w:rFonts w:hint="eastAsia" w:ascii="仿宋" w:hAnsi="仿宋" w:eastAsia="仿宋" w:cs="仿宋"/>
          <w:sz w:val="30"/>
          <w:szCs w:val="30"/>
        </w:rPr>
        <w:t>切实做好施工期环境保护工作。落实环境影响评价文件提出的各项施工期污防措施，尽量缩短施工期，合理布局施工机械，对施工场地采取围挡、加盖篷布、洒水降尘等抑尘措施，禁止在大风天作业，</w:t>
      </w:r>
      <w:r>
        <w:rPr>
          <w:rFonts w:hint="eastAsia" w:ascii="仿宋" w:hAnsi="仿宋" w:eastAsia="仿宋" w:cs="仿宋"/>
          <w:sz w:val="30"/>
          <w:szCs w:val="30"/>
          <w:lang w:val="en-US" w:eastAsia="zh-CN"/>
        </w:rPr>
        <w:t>封闭临时搅拌场，</w:t>
      </w:r>
      <w:r>
        <w:rPr>
          <w:rFonts w:hint="eastAsia" w:ascii="仿宋" w:hAnsi="仿宋" w:eastAsia="仿宋" w:cs="仿宋"/>
          <w:sz w:val="30"/>
          <w:szCs w:val="30"/>
        </w:rPr>
        <w:t>渣土物料运输采用密闭或其他遮覆方式，有效减轻施工及运输的扬尘污染影响；选用低噪声施工设备，合理安排施工时间，减少噪声对周边环境的影响；施工期废水经沉淀后回用，生活污水经化粪池处理</w:t>
      </w:r>
      <w:r>
        <w:rPr>
          <w:rFonts w:hint="eastAsia" w:ascii="仿宋" w:hAnsi="仿宋" w:eastAsia="仿宋" w:cs="仿宋"/>
          <w:sz w:val="30"/>
          <w:szCs w:val="30"/>
          <w:lang w:val="en-US" w:eastAsia="zh-CN"/>
        </w:rPr>
        <w:t>后综合利用</w:t>
      </w:r>
      <w:r>
        <w:rPr>
          <w:rFonts w:hint="eastAsia" w:ascii="仿宋" w:hAnsi="仿宋" w:eastAsia="仿宋" w:cs="仿宋"/>
          <w:sz w:val="30"/>
          <w:szCs w:val="30"/>
        </w:rPr>
        <w:t>；施工期固废</w:t>
      </w:r>
      <w:r>
        <w:rPr>
          <w:rFonts w:hint="eastAsia" w:ascii="仿宋" w:hAnsi="仿宋" w:eastAsia="仿宋" w:cs="仿宋"/>
          <w:sz w:val="30"/>
          <w:szCs w:val="30"/>
          <w:lang w:val="en-US" w:eastAsia="zh-CN"/>
        </w:rPr>
        <w:t>综合利用</w:t>
      </w:r>
      <w:r>
        <w:rPr>
          <w:rFonts w:hint="eastAsia" w:ascii="仿宋" w:hAnsi="仿宋" w:eastAsia="仿宋" w:cs="仿宋"/>
          <w:sz w:val="30"/>
          <w:szCs w:val="30"/>
        </w:rPr>
        <w:t>，生活垃圾定点收集，由环卫部门统一收集处理。</w:t>
      </w:r>
    </w:p>
    <w:p>
      <w:pPr>
        <w:ind w:firstLine="600" w:firstLineChars="200"/>
        <w:rPr>
          <w:rFonts w:ascii="仿宋" w:hAnsi="仿宋" w:eastAsia="仿宋" w:cs="仿宋"/>
          <w:sz w:val="30"/>
          <w:szCs w:val="30"/>
        </w:rPr>
      </w:pPr>
      <w:r>
        <w:rPr>
          <w:rFonts w:hint="eastAsia" w:ascii="仿宋" w:hAnsi="仿宋" w:eastAsia="仿宋" w:cs="仿宋"/>
          <w:sz w:val="30"/>
          <w:szCs w:val="30"/>
        </w:rPr>
        <w:t>（二）废水污染防治。项目实行雨、污分流，</w:t>
      </w:r>
      <w:r>
        <w:rPr>
          <w:rFonts w:hint="eastAsia" w:ascii="仿宋" w:hAnsi="仿宋" w:eastAsia="仿宋" w:cs="仿宋"/>
          <w:sz w:val="30"/>
          <w:szCs w:val="30"/>
          <w:lang w:val="en-US" w:eastAsia="zh-CN"/>
        </w:rPr>
        <w:t>项目运营产生的屠宰废水和生活污水</w:t>
      </w:r>
      <w:r>
        <w:rPr>
          <w:rFonts w:hint="eastAsia" w:ascii="仿宋" w:hAnsi="仿宋" w:eastAsia="仿宋" w:cs="仿宋"/>
          <w:sz w:val="30"/>
          <w:szCs w:val="30"/>
        </w:rPr>
        <w:t>经自建废水处理系统预处理达到君山区第二污水处理厂预处理中心</w:t>
      </w:r>
      <w:r>
        <w:rPr>
          <w:rFonts w:hint="eastAsia" w:ascii="仿宋" w:hAnsi="仿宋" w:eastAsia="仿宋" w:cs="仿宋"/>
          <w:sz w:val="30"/>
          <w:szCs w:val="30"/>
          <w:lang w:val="en-US" w:eastAsia="zh-CN"/>
        </w:rPr>
        <w:t>接纳标准和《屠宰与肉类加工工业水污染物排放标准（征求意见稿）》</w:t>
      </w:r>
      <w:r>
        <w:rPr>
          <w:rFonts w:hint="eastAsia" w:ascii="仿宋" w:hAnsi="仿宋" w:eastAsia="仿宋" w:cs="仿宋"/>
          <w:sz w:val="30"/>
          <w:szCs w:val="30"/>
        </w:rPr>
        <w:t>后</w:t>
      </w:r>
      <w:r>
        <w:rPr>
          <w:rFonts w:hint="eastAsia" w:ascii="仿宋" w:hAnsi="仿宋" w:eastAsia="仿宋" w:cs="仿宋"/>
          <w:sz w:val="30"/>
          <w:szCs w:val="30"/>
          <w:lang w:val="en-US" w:eastAsia="zh-CN"/>
        </w:rPr>
        <w:t>排</w:t>
      </w:r>
      <w:r>
        <w:rPr>
          <w:rFonts w:hint="eastAsia" w:ascii="仿宋" w:hAnsi="仿宋" w:eastAsia="仿宋" w:cs="仿宋"/>
          <w:sz w:val="30"/>
          <w:szCs w:val="30"/>
        </w:rPr>
        <w:t>入君山区第二污水处理厂预处理中心进行处理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最终进入</w:t>
      </w:r>
      <w:r>
        <w:rPr>
          <w:rFonts w:hint="eastAsia" w:ascii="仿宋" w:hAnsi="仿宋" w:eastAsia="仿宋" w:cs="仿宋"/>
          <w:sz w:val="30"/>
          <w:szCs w:val="30"/>
        </w:rPr>
        <w:t>君山区第二污水处理厂</w:t>
      </w:r>
      <w:r>
        <w:rPr>
          <w:rFonts w:hint="eastAsia" w:ascii="仿宋" w:hAnsi="仿宋" w:eastAsia="仿宋" w:cs="仿宋"/>
          <w:sz w:val="30"/>
          <w:szCs w:val="30"/>
          <w:lang w:val="en-US" w:eastAsia="zh-CN"/>
        </w:rPr>
        <w:t>深度处理</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（三）大气污染防治。</w:t>
      </w:r>
      <w:r>
        <w:rPr>
          <w:rFonts w:hint="eastAsia" w:ascii="仿宋" w:hAnsi="仿宋" w:eastAsia="仿宋" w:cs="仿宋"/>
          <w:sz w:val="30"/>
          <w:szCs w:val="30"/>
          <w:lang w:val="en-US" w:eastAsia="zh-CN"/>
        </w:rPr>
        <w:t>项目采取封闭式管理，运营期产生的恶臭气体经集中收集后采取生物除臭装置进行处理满足《恶臭</w:t>
      </w:r>
      <w:r>
        <w:rPr>
          <w:rFonts w:hint="eastAsia" w:ascii="仿宋" w:hAnsi="仿宋" w:eastAsia="仿宋" w:cs="仿宋"/>
          <w:sz w:val="30"/>
          <w:szCs w:val="30"/>
        </w:rPr>
        <w:t>污染物排放标准</w:t>
      </w:r>
      <w:r>
        <w:rPr>
          <w:rFonts w:hint="eastAsia" w:ascii="仿宋" w:hAnsi="仿宋" w:eastAsia="仿宋" w:cs="仿宋"/>
          <w:sz w:val="30"/>
          <w:szCs w:val="30"/>
          <w:lang w:val="en-US" w:eastAsia="zh-CN"/>
        </w:rPr>
        <w:t>》</w:t>
      </w:r>
      <w:r>
        <w:rPr>
          <w:rFonts w:hint="eastAsia" w:ascii="仿宋" w:hAnsi="仿宋" w:eastAsia="仿宋" w:cs="仿宋"/>
          <w:sz w:val="30"/>
          <w:szCs w:val="30"/>
        </w:rPr>
        <w:t>(GB14554-1993)中相关标准限值要求</w:t>
      </w:r>
      <w:r>
        <w:rPr>
          <w:rFonts w:hint="eastAsia" w:ascii="仿宋" w:hAnsi="仿宋" w:eastAsia="仿宋" w:cs="仿宋"/>
          <w:sz w:val="30"/>
          <w:szCs w:val="30"/>
          <w:lang w:val="en-US" w:eastAsia="zh-CN"/>
        </w:rPr>
        <w:t>后通过15m高的排气筒排放，有效防止恶臭影响</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（四）噪声污染防治。选用低噪声设备、合理平面布局，确保厂界噪声达到《工业企业厂界环境噪声排放标准》（GB 12348-2008）</w:t>
      </w:r>
      <w:r>
        <w:rPr>
          <w:rFonts w:hint="eastAsia" w:ascii="仿宋" w:hAnsi="仿宋" w:eastAsia="仿宋" w:cs="仿宋"/>
          <w:sz w:val="30"/>
          <w:szCs w:val="30"/>
          <w:lang w:val="en-US" w:eastAsia="zh-CN"/>
        </w:rPr>
        <w:t>2</w:t>
      </w:r>
      <w:r>
        <w:rPr>
          <w:rFonts w:hint="eastAsia" w:ascii="仿宋" w:hAnsi="仿宋" w:eastAsia="仿宋" w:cs="仿宋"/>
          <w:sz w:val="30"/>
          <w:szCs w:val="30"/>
        </w:rPr>
        <w:t>类标准要求。</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（五）固体废物污染防治。严格按照《危险废物贮存污染控制标准》(GB18597-2001)的相关要求设置危险固废暂存库，检验不合格的生猪产品及病死猪</w:t>
      </w:r>
      <w:r>
        <w:rPr>
          <w:rFonts w:hint="eastAsia" w:ascii="仿宋" w:hAnsi="仿宋" w:eastAsia="仿宋" w:cs="仿宋"/>
          <w:sz w:val="30"/>
          <w:szCs w:val="30"/>
          <w:lang w:eastAsia="zh-CN"/>
        </w:rPr>
        <w:t>、不合格的内脏及胴体在卫生防疫部门的监督下由君山区许市镇农业综合服务中心进行收集，废弃检疫卡、检测盒等废检疫化验材料</w:t>
      </w:r>
      <w:r>
        <w:rPr>
          <w:rFonts w:hint="eastAsia" w:ascii="仿宋" w:hAnsi="仿宋" w:eastAsia="仿宋" w:cs="仿宋"/>
          <w:sz w:val="30"/>
          <w:szCs w:val="30"/>
          <w:lang w:val="en-US" w:eastAsia="zh-CN"/>
        </w:rPr>
        <w:t>暂存后委托有危废资质处置单位处理</w:t>
      </w:r>
      <w:r>
        <w:rPr>
          <w:rFonts w:hint="eastAsia" w:ascii="仿宋" w:hAnsi="仿宋" w:eastAsia="仿宋" w:cs="仿宋"/>
          <w:sz w:val="30"/>
          <w:szCs w:val="30"/>
          <w:lang w:eastAsia="zh-CN"/>
        </w:rPr>
        <w:t>；</w:t>
      </w:r>
      <w:r>
        <w:rPr>
          <w:rFonts w:hint="eastAsia" w:ascii="仿宋" w:hAnsi="仿宋" w:eastAsia="仿宋" w:cs="仿宋"/>
          <w:sz w:val="30"/>
          <w:szCs w:val="30"/>
        </w:rPr>
        <w:t>认真落实</w:t>
      </w:r>
      <w:r>
        <w:rPr>
          <w:rFonts w:hint="eastAsia" w:ascii="仿宋" w:hAnsi="仿宋" w:eastAsia="仿宋" w:cs="仿宋"/>
          <w:sz w:val="30"/>
          <w:szCs w:val="30"/>
          <w:lang w:val="en-US" w:eastAsia="zh-CN"/>
        </w:rPr>
        <w:t>一般</w:t>
      </w:r>
      <w:r>
        <w:rPr>
          <w:rFonts w:hint="eastAsia" w:ascii="仿宋" w:hAnsi="仿宋" w:eastAsia="仿宋" w:cs="仿宋"/>
          <w:sz w:val="30"/>
          <w:szCs w:val="30"/>
        </w:rPr>
        <w:t>固废分类收集、处置和综合利用措施</w:t>
      </w:r>
      <w:r>
        <w:rPr>
          <w:rFonts w:hint="eastAsia" w:ascii="仿宋" w:hAnsi="仿宋" w:eastAsia="仿宋" w:cs="仿宋"/>
          <w:sz w:val="30"/>
          <w:szCs w:val="30"/>
          <w:lang w:eastAsia="zh-CN"/>
        </w:rPr>
        <w:t>；</w:t>
      </w:r>
      <w:r>
        <w:rPr>
          <w:rFonts w:hint="eastAsia" w:ascii="仿宋" w:hAnsi="仿宋" w:eastAsia="仿宋" w:cs="仿宋"/>
          <w:sz w:val="30"/>
          <w:szCs w:val="30"/>
        </w:rPr>
        <w:t>生活垃圾由环卫部门定期清运</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rPr>
        <w:t>加强营运期风险防范。落实各项风险防范措施，加强设施设备的维护和管理，严格按照《企业事业单位突发环境事件应急预案备案管理办法（试行）》（环发〔2015〕4号）要求制定事故环境应急预案，储备风险救助物资并组织演练，杜绝环境风险事故发生。</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rPr>
        <w:t>加强环境管理，建立健全的污染防治设施运行管理台帐，设专门的环保机构，配备专人负责环保工作，确保各项污染防治设施正常运行，各类污染物稳定达标排放。</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w:t>
      </w:r>
      <w:r>
        <w:rPr>
          <w:rFonts w:hint="eastAsia" w:ascii="仿宋" w:hAnsi="仿宋" w:eastAsia="仿宋" w:cs="仿宋"/>
          <w:sz w:val="30"/>
          <w:szCs w:val="30"/>
        </w:rPr>
        <w:t>污染物总量控制指标：COD≤</w:t>
      </w:r>
      <w:r>
        <w:rPr>
          <w:rFonts w:hint="eastAsia" w:ascii="仿宋" w:hAnsi="仿宋" w:eastAsia="仿宋" w:cs="仿宋"/>
          <w:sz w:val="30"/>
          <w:szCs w:val="30"/>
          <w:lang w:val="en-US" w:eastAsia="zh-CN"/>
        </w:rPr>
        <w:t>3.4</w:t>
      </w:r>
      <w:r>
        <w:rPr>
          <w:rFonts w:hint="eastAsia" w:ascii="仿宋" w:hAnsi="仿宋" w:eastAsia="仿宋" w:cs="仿宋"/>
          <w:sz w:val="30"/>
          <w:szCs w:val="30"/>
        </w:rPr>
        <w:t>t/a、NH3-N≤0.</w:t>
      </w:r>
      <w:r>
        <w:rPr>
          <w:rFonts w:hint="eastAsia" w:ascii="仿宋" w:hAnsi="仿宋" w:eastAsia="仿宋" w:cs="仿宋"/>
          <w:sz w:val="30"/>
          <w:szCs w:val="30"/>
          <w:lang w:val="en-US" w:eastAsia="zh-CN"/>
        </w:rPr>
        <w:t>5</w:t>
      </w:r>
      <w:r>
        <w:rPr>
          <w:rFonts w:hint="eastAsia" w:ascii="仿宋" w:hAnsi="仿宋" w:eastAsia="仿宋" w:cs="仿宋"/>
          <w:sz w:val="30"/>
          <w:szCs w:val="30"/>
        </w:rPr>
        <w:t>t/</w:t>
      </w:r>
      <w:r>
        <w:rPr>
          <w:rFonts w:hint="eastAsia" w:ascii="仿宋" w:hAnsi="仿宋" w:eastAsia="仿宋" w:cs="仿宋"/>
          <w:sz w:val="30"/>
          <w:szCs w:val="30"/>
          <w:lang w:val="en-US" w:eastAsia="zh-CN"/>
        </w:rPr>
        <w:t>a</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二、你单位应在收到本批复后15个工作日内，将批复及该项目环评报批稿送至岳阳市君山区环境监察大队、</w:t>
      </w:r>
      <w:r>
        <w:rPr>
          <w:rFonts w:hint="eastAsia" w:ascii="仿宋" w:hAnsi="仿宋" w:eastAsia="仿宋" w:cs="仿宋"/>
          <w:sz w:val="30"/>
          <w:szCs w:val="30"/>
          <w:lang w:val="en-US" w:eastAsia="zh-CN"/>
        </w:rPr>
        <w:t>岳阳市君山区工业园管理委员会、</w:t>
      </w:r>
      <w:r>
        <w:rPr>
          <w:rFonts w:hint="eastAsia" w:ascii="仿宋" w:hAnsi="仿宋" w:eastAsia="仿宋" w:cs="仿宋"/>
          <w:sz w:val="30"/>
          <w:szCs w:val="30"/>
        </w:rPr>
        <w:t>湖南创佳环保有限公司。</w:t>
      </w:r>
    </w:p>
    <w:p>
      <w:pPr>
        <w:ind w:firstLine="600" w:firstLineChars="200"/>
        <w:rPr>
          <w:rFonts w:ascii="仿宋" w:hAnsi="仿宋" w:eastAsia="仿宋" w:cs="仿宋"/>
          <w:sz w:val="30"/>
          <w:szCs w:val="30"/>
        </w:rPr>
      </w:pPr>
      <w:r>
        <w:rPr>
          <w:rFonts w:hint="eastAsia" w:ascii="仿宋" w:hAnsi="仿宋" w:eastAsia="仿宋" w:cs="仿宋"/>
          <w:sz w:val="30"/>
          <w:szCs w:val="30"/>
        </w:rPr>
        <w:t>三、岳阳市君山区环境监察大队负责项目建设期的日常环境监管。</w:t>
      </w:r>
      <w:bookmarkEnd w:id="1"/>
    </w:p>
    <w:p>
      <w:pPr>
        <w:spacing w:line="520" w:lineRule="exact"/>
        <w:ind w:firstLine="3840" w:firstLineChars="1200"/>
        <w:rPr>
          <w:rFonts w:hint="eastAsia" w:ascii="仿宋" w:hAnsi="仿宋" w:eastAsia="仿宋" w:cs="_4eff_5b8b_GB2312"/>
          <w:bCs/>
          <w:color w:val="000000"/>
          <w:sz w:val="32"/>
          <w:szCs w:val="32"/>
        </w:rPr>
      </w:pPr>
    </w:p>
    <w:p>
      <w:pPr>
        <w:spacing w:line="520" w:lineRule="exact"/>
        <w:ind w:firstLine="3840" w:firstLineChars="1200"/>
        <w:rPr>
          <w:rFonts w:hint="eastAsia" w:ascii="仿宋" w:hAnsi="仿宋" w:eastAsia="仿宋" w:cs="_4eff_5b8b_GB2312"/>
          <w:bCs/>
          <w:color w:val="000000"/>
          <w:sz w:val="32"/>
          <w:szCs w:val="32"/>
        </w:rPr>
      </w:pPr>
    </w:p>
    <w:p>
      <w:pPr>
        <w:spacing w:line="520" w:lineRule="exact"/>
        <w:ind w:firstLine="3840" w:firstLineChars="1200"/>
        <w:rPr>
          <w:rFonts w:ascii="仿宋" w:hAnsi="仿宋" w:eastAsia="仿宋" w:cs="_4eff_5b8b_GB2312"/>
          <w:bCs/>
          <w:color w:val="000000"/>
          <w:sz w:val="32"/>
          <w:szCs w:val="32"/>
        </w:rPr>
      </w:pPr>
      <w:r>
        <w:rPr>
          <w:rFonts w:hint="eastAsia" w:ascii="仿宋" w:hAnsi="仿宋" w:eastAsia="仿宋" w:cs="_4eff_5b8b_GB2312"/>
          <w:bCs/>
          <w:color w:val="000000"/>
          <w:sz w:val="32"/>
          <w:szCs w:val="32"/>
        </w:rPr>
        <w:t>岳阳市生态环境局君山分局</w:t>
      </w:r>
    </w:p>
    <w:p>
      <w:pPr>
        <w:spacing w:line="520" w:lineRule="exact"/>
        <w:ind w:firstLine="4480" w:firstLineChars="1400"/>
        <w:rPr>
          <w:rFonts w:ascii="仿宋" w:hAnsi="仿宋" w:eastAsia="仿宋" w:cs="仿宋"/>
          <w:sz w:val="30"/>
          <w:szCs w:val="30"/>
        </w:rPr>
      </w:pPr>
      <w:r>
        <w:rPr>
          <w:rFonts w:hint="eastAsia" w:ascii="仿宋" w:hAnsi="仿宋" w:eastAsia="仿宋" w:cs="_4eff_5b8b_GB2312"/>
          <w:bCs/>
          <w:color w:val="000000"/>
          <w:sz w:val="32"/>
          <w:szCs w:val="32"/>
        </w:rPr>
        <w:t>202</w:t>
      </w:r>
      <w:r>
        <w:rPr>
          <w:rFonts w:hint="eastAsia" w:ascii="仿宋" w:hAnsi="仿宋" w:eastAsia="仿宋" w:cs="_4eff_5b8b_GB2312"/>
          <w:bCs/>
          <w:color w:val="000000"/>
          <w:sz w:val="32"/>
          <w:szCs w:val="32"/>
          <w:lang w:val="en-US" w:eastAsia="zh-CN"/>
        </w:rPr>
        <w:t>1</w:t>
      </w:r>
      <w:r>
        <w:rPr>
          <w:rFonts w:hint="eastAsia" w:ascii="仿宋" w:hAnsi="仿宋" w:eastAsia="仿宋" w:cs="_4eff_5b8b_GB2312"/>
          <w:bCs/>
          <w:color w:val="000000"/>
          <w:sz w:val="32"/>
          <w:szCs w:val="32"/>
        </w:rPr>
        <w:t>年</w:t>
      </w:r>
      <w:r>
        <w:rPr>
          <w:rFonts w:hint="eastAsia" w:ascii="仿宋" w:hAnsi="仿宋" w:eastAsia="仿宋" w:cs="_4eff_5b8b_GB2312"/>
          <w:bCs/>
          <w:color w:val="000000"/>
          <w:sz w:val="32"/>
          <w:szCs w:val="32"/>
          <w:lang w:val="en-US" w:eastAsia="zh-CN"/>
        </w:rPr>
        <w:t>5</w:t>
      </w:r>
      <w:r>
        <w:rPr>
          <w:rFonts w:hint="eastAsia" w:ascii="仿宋" w:hAnsi="仿宋" w:eastAsia="仿宋" w:cs="_4eff_5b8b_GB2312"/>
          <w:bCs/>
          <w:color w:val="000000"/>
          <w:sz w:val="32"/>
          <w:szCs w:val="32"/>
        </w:rPr>
        <w:t>月</w:t>
      </w:r>
      <w:r>
        <w:rPr>
          <w:rFonts w:hint="eastAsia" w:ascii="仿宋" w:hAnsi="仿宋" w:eastAsia="仿宋" w:cs="_4eff_5b8b_GB2312"/>
          <w:bCs/>
          <w:color w:val="000000"/>
          <w:sz w:val="32"/>
          <w:szCs w:val="32"/>
          <w:lang w:val="en-US" w:eastAsia="zh-CN"/>
        </w:rPr>
        <w:t>11</w:t>
      </w:r>
      <w:r>
        <w:rPr>
          <w:rFonts w:hint="eastAsia" w:ascii="仿宋" w:hAnsi="仿宋" w:eastAsia="仿宋" w:cs="_4eff_5b8b_GB2312"/>
          <w:bCs/>
          <w:color w:val="00000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4C6627A"/>
    <w:rsid w:val="0049144E"/>
    <w:rsid w:val="004D382B"/>
    <w:rsid w:val="0082775E"/>
    <w:rsid w:val="00A92163"/>
    <w:rsid w:val="00DC5F66"/>
    <w:rsid w:val="00F767C8"/>
    <w:rsid w:val="014409B8"/>
    <w:rsid w:val="04C6627A"/>
    <w:rsid w:val="0A686B0F"/>
    <w:rsid w:val="153174E5"/>
    <w:rsid w:val="15CB507F"/>
    <w:rsid w:val="270F17DF"/>
    <w:rsid w:val="43D563B7"/>
    <w:rsid w:val="45E916D8"/>
    <w:rsid w:val="7B3F77F6"/>
    <w:rsid w:val="7C85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paragraph" w:styleId="8">
    <w:name w:val="heading 2"/>
    <w:basedOn w:val="1"/>
    <w:next w:val="1"/>
    <w:unhideWhenUsed/>
    <w:qFormat/>
    <w:uiPriority w:val="9"/>
    <w:pPr>
      <w:pBdr>
        <w:bottom w:val="single" w:color="5B9BD5" w:themeColor="accent1" w:sz="8" w:space="1"/>
      </w:pBdr>
      <w:spacing w:before="200" w:after="80"/>
      <w:outlineLvl w:val="1"/>
    </w:pPr>
    <w:rPr>
      <w:rFonts w:asciiTheme="majorHAnsi" w:hAnsiTheme="majorHAnsi" w:eastAsiaTheme="majorEastAsia" w:cstheme="majorBidi"/>
      <w:color w:val="2E75B5" w:themeColor="accent1" w:themeShade="BF"/>
      <w:sz w:val="24"/>
      <w:szCs w:val="24"/>
    </w:rPr>
  </w:style>
  <w:style w:type="paragraph" w:styleId="9">
    <w:name w:val="heading 3"/>
    <w:basedOn w:val="8"/>
    <w:next w:val="1"/>
    <w:unhideWhenUsed/>
    <w:qFormat/>
    <w:uiPriority w:val="9"/>
    <w:pPr>
      <w:pBdr>
        <w:bottom w:val="single" w:color="9CC2E5" w:themeColor="accent1" w:themeTint="99" w:sz="4" w:space="1"/>
      </w:pBdr>
      <w:outlineLvl w:val="2"/>
    </w:pPr>
    <w:rPr>
      <w:color w:val="5B9BD5" w:themeColor="accent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2"/>
    <w:qFormat/>
    <w:uiPriority w:val="0"/>
    <w:pPr>
      <w:spacing w:after="120"/>
      <w:ind w:left="420" w:leftChars="200"/>
    </w:pPr>
  </w:style>
  <w:style w:type="paragraph" w:styleId="4">
    <w:name w:val="Body Text First Indent"/>
    <w:basedOn w:val="5"/>
    <w:qFormat/>
    <w:uiPriority w:val="0"/>
    <w:pPr>
      <w:adjustRightInd w:val="0"/>
      <w:snapToGrid w:val="0"/>
      <w:spacing w:after="0" w:line="360" w:lineRule="auto"/>
      <w:ind w:firstLine="200"/>
      <w:jc w:val="both"/>
    </w:pPr>
    <w:rPr>
      <w:kern w:val="2"/>
      <w:sz w:val="24"/>
    </w:rPr>
  </w:style>
  <w:style w:type="paragraph" w:styleId="5">
    <w:name w:val="Body Text"/>
    <w:basedOn w:val="1"/>
    <w:next w:val="6"/>
    <w:qFormat/>
    <w:uiPriority w:val="0"/>
    <w:pPr>
      <w:spacing w:after="120"/>
    </w:pPr>
    <w:rPr>
      <w:rFonts w:ascii="Times New Roman" w:hAnsi="Times New Roman" w:eastAsia="宋体" w:cs="Times New Roman"/>
    </w:rPr>
  </w:style>
  <w:style w:type="paragraph" w:customStyle="1" w:styleId="6">
    <w:name w:val="Date1"/>
    <w:basedOn w:val="1"/>
    <w:next w:val="1"/>
    <w:qFormat/>
    <w:uiPriority w:val="0"/>
    <w:pPr>
      <w:adjustRightInd w:val="0"/>
      <w:jc w:val="left"/>
      <w:textAlignment w:val="baseline"/>
    </w:pPr>
    <w:rPr>
      <w:rFonts w:ascii="宋体" w:hAnsi="宋体"/>
      <w:sz w:val="28"/>
      <w:szCs w:val="20"/>
    </w:rPr>
  </w:style>
  <w:style w:type="character" w:styleId="12">
    <w:name w:val="FollowedHyperlink"/>
    <w:basedOn w:val="11"/>
    <w:uiPriority w:val="0"/>
    <w:rPr>
      <w:color w:val="000000"/>
      <w:u w:val="none"/>
    </w:rPr>
  </w:style>
  <w:style w:type="character" w:styleId="13">
    <w:name w:val="Emphasis"/>
    <w:basedOn w:val="11"/>
    <w:qFormat/>
    <w:uiPriority w:val="0"/>
  </w:style>
  <w:style w:type="character" w:styleId="14">
    <w:name w:val="Hyperlink"/>
    <w:basedOn w:val="11"/>
    <w:qFormat/>
    <w:uiPriority w:val="0"/>
    <w:rPr>
      <w:color w:val="000000"/>
      <w:u w:val="none"/>
    </w:rPr>
  </w:style>
  <w:style w:type="paragraph" w:styleId="15">
    <w:name w:val="List Paragraph"/>
    <w:basedOn w:val="1"/>
    <w:qFormat/>
    <w:uiPriority w:val="34"/>
    <w:pPr>
      <w:ind w:firstLine="420" w:firstLineChars="200"/>
    </w:pPr>
  </w:style>
  <w:style w:type="character" w:customStyle="1" w:styleId="16">
    <w:name w:val="znspantitle"/>
    <w:basedOn w:val="11"/>
    <w:qFormat/>
    <w:uiPriority w:val="0"/>
    <w:rPr>
      <w:b/>
      <w:bCs/>
      <w:color w:val="333333"/>
    </w:rPr>
  </w:style>
  <w:style w:type="character" w:customStyle="1" w:styleId="17">
    <w:name w:val="lable"/>
    <w:basedOn w:val="11"/>
    <w:uiPriority w:val="0"/>
    <w:rPr>
      <w:sz w:val="24"/>
      <w:szCs w:val="24"/>
    </w:rPr>
  </w:style>
  <w:style w:type="character" w:customStyle="1" w:styleId="18">
    <w:name w:val="cur1"/>
    <w:basedOn w:val="11"/>
    <w:uiPriority w:val="0"/>
    <w:rPr>
      <w:color w:val="FFFFFF"/>
      <w:shd w:val="clear" w:fill="2F6B98"/>
    </w:rPr>
  </w:style>
  <w:style w:type="character" w:customStyle="1" w:styleId="19">
    <w:name w:val="lishishuju"/>
    <w:basedOn w:val="11"/>
    <w:qFormat/>
    <w:uiPriority w:val="0"/>
    <w:rPr>
      <w:b/>
      <w:bCs/>
      <w:color w:val="000052"/>
      <w:sz w:val="24"/>
      <w:szCs w:val="24"/>
      <w:bdr w:val="single" w:color="E3E3E3" w:sz="6" w:space="0"/>
    </w:rPr>
  </w:style>
  <w:style w:type="character" w:customStyle="1" w:styleId="20">
    <w:name w:val="radio-btn"/>
    <w:basedOn w:val="11"/>
    <w:qFormat/>
    <w:uiPriority w:val="0"/>
    <w:rPr>
      <w:sz w:val="21"/>
      <w:szCs w:val="21"/>
    </w:rPr>
  </w:style>
  <w:style w:type="character" w:customStyle="1" w:styleId="21">
    <w:name w:val="radio-btn1"/>
    <w:basedOn w:val="11"/>
    <w:uiPriority w:val="0"/>
    <w:rPr>
      <w:sz w:val="24"/>
      <w:szCs w:val="24"/>
    </w:rPr>
  </w:style>
  <w:style w:type="character" w:customStyle="1" w:styleId="22">
    <w:name w:val="radio-btn2"/>
    <w:basedOn w:val="11"/>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167</Words>
  <Characters>955</Characters>
  <Lines>7</Lines>
  <Paragraphs>2</Paragraphs>
  <TotalTime>1</TotalTime>
  <ScaleCrop>false</ScaleCrop>
  <LinksUpToDate>false</LinksUpToDate>
  <CharactersWithSpaces>1120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2020-07-12T13:16:00Z</dcterms:created>
  <dc:creator>Lenovo</dc:creator>
  <cp:lastModifiedBy>zp</cp:lastModifiedBy>
  <cp:lastPrinted>2021-05-11T01:42:00Z</cp:lastPrinted>
  <dcterms:modified xsi:type="dcterms:W3CDTF">2021-05-12T02:19:09Z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FD5ECF9061774815B92AF8421CB48A34</vt:lpwstr>
  </property>
</Properties>
</file>