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岳环君分环评批〔202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1〕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关于湖南东起生物质多联产综合利用项目（年产6万吨生物质颗粒）环境影响报告表的审批意见</w:t>
      </w:r>
    </w:p>
    <w:p>
      <w:pPr>
        <w:spacing w:line="360" w:lineRule="auto"/>
        <w:rPr>
          <w:sz w:val="24"/>
          <w:szCs w:val="2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湖南东起生物质能源有限公司：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你公司报送的《湖南东起生物质多联产综合利用项目（年产6万吨生物质颗粒）环境影响报告表》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已收悉。我局按照建设项目管理有关规定对该项目进行审查，经研究，批复如下：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湖南东起生物质能源有限公司拟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</w:t>
      </w:r>
      <w:r>
        <w:rPr>
          <w:rFonts w:hint="eastAsia" w:ascii="仿宋" w:hAnsi="仿宋" w:eastAsia="仿宋" w:cs="仿宋"/>
          <w:sz w:val="30"/>
          <w:szCs w:val="30"/>
        </w:rPr>
        <w:t>湖南省岳阳市君山区钱粮湖镇百花大道1号新建年产6万吨生物质颗粒综合利用项目。项目建筑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80000</w:t>
      </w:r>
      <w:r>
        <w:rPr>
          <w:rFonts w:hint="eastAsia" w:ascii="仿宋" w:hAnsi="仿宋" w:eastAsia="仿宋" w:cs="仿宋"/>
          <w:sz w:val="30"/>
          <w:szCs w:val="30"/>
        </w:rPr>
        <w:t>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，总投资2000万元，其中环保投资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40</w:t>
      </w:r>
      <w:r>
        <w:rPr>
          <w:rFonts w:hint="eastAsia" w:ascii="仿宋" w:hAnsi="仿宋" w:eastAsia="仿宋" w:cs="仿宋"/>
          <w:sz w:val="30"/>
          <w:szCs w:val="30"/>
        </w:rPr>
        <w:t>万元。项目租赁湖南井田人纸业有限公司的闲置厂房进行生产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主要原材料为芦苇，年消耗72900吨，采用旋切、粉碎、烘干、制粒等工艺制成生物质颗粒，锅炉燃料使用成型生物质，项目建成后年产60000吨生物质颗粒</w:t>
      </w:r>
      <w:r>
        <w:rPr>
          <w:rFonts w:hint="eastAsia" w:ascii="仿宋" w:hAnsi="仿宋" w:eastAsia="仿宋" w:cs="仿宋"/>
          <w:sz w:val="30"/>
          <w:szCs w:val="30"/>
        </w:rPr>
        <w:t>。根据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成都元页环保科技有限公司</w:t>
      </w:r>
      <w:r>
        <w:rPr>
          <w:rFonts w:hint="eastAsia" w:ascii="仿宋" w:hAnsi="仿宋" w:eastAsia="仿宋" w:cs="仿宋"/>
          <w:sz w:val="30"/>
          <w:szCs w:val="30"/>
        </w:rPr>
        <w:t>编制的《湖南东起生物质多联产综合利用项目（年产6万吨生物质颗粒）环境影响报告表》基本内容、结论、专家评审意见，综合考虑，我局原则同意你公司环境影响报告表中所列建设项目的性质、规模、工艺、地点和环境保护对策措施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一、认真落实专家及环境影响报告表中提出的各项污染防治措施，并应着重注意以下问题：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OLE_LINK5"/>
      <w:r>
        <w:rPr>
          <w:rFonts w:hint="eastAsia" w:ascii="仿宋" w:hAnsi="仿宋" w:eastAsia="仿宋" w:cs="仿宋"/>
          <w:sz w:val="30"/>
          <w:szCs w:val="30"/>
        </w:rPr>
        <w:t>（一）</w:t>
      </w:r>
      <w:bookmarkEnd w:id="0"/>
      <w:bookmarkStart w:id="1" w:name="OLE_LINK1"/>
      <w:r>
        <w:rPr>
          <w:rFonts w:hint="eastAsia" w:ascii="仿宋" w:hAnsi="仿宋" w:eastAsia="仿宋" w:cs="仿宋"/>
          <w:sz w:val="30"/>
          <w:szCs w:val="30"/>
        </w:rPr>
        <w:t>切实做好施工期环境保护工作。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本项目租赁已建成厂区，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施工期主要为设备安装及厂房装修，合理安排设备安装的作业时间，采取隔声降噪措施，禁止夜间（22时至次日6时）施工。建设期装修垃圾及生活垃圾不得露天堆放，装修垃圾如废弃设备材料等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综合利用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；生活垃圾定点收集，由环卫部门统一收集处理。禁止将施工废渣排入周边渠道、农田等环境内。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（二）废水污染防治。项目实行雨、污分流，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原料堆场堆放产生的废水通过一体化设施处理、生活污水通过化粪池处理满足《污水综合排放标准》（GB8978-1996）表4三级标准后经污水管网一起排入钱粮湖镇污水处理厂。</w:t>
      </w:r>
    </w:p>
    <w:p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（三）大气污染防治。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破碎和造粒产生的废气分别经布袋式除尘器处理满足《大气污染物综合排放标准》（GB16297-1996）后分别通过15米高的排气筒排放，烘干废气经水膜除尘器处理后满足《锅炉大气污染物排放标准》（GB13271-2014）特别排放限值后另通过15米高的排气筒排放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（四）噪声污染防治。选用低噪声设备、合理平面布局，确保厂界噪声达到《工业企业厂界环境噪声排放标准》（GB 12348-2008）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类标准要求。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（五）固体废物污染防治。严格按照《危险废物贮存污染控制标准》(GB18597-2001)的相关要求设置危险固废暂存库，废矿物油等危废交由有资质的单位无害化处理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认真落实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</w:t>
      </w:r>
      <w:r>
        <w:rPr>
          <w:rFonts w:hint="eastAsia" w:ascii="仿宋" w:hAnsi="仿宋" w:eastAsia="仿宋" w:cs="仿宋"/>
          <w:sz w:val="30"/>
          <w:szCs w:val="30"/>
        </w:rPr>
        <w:t>固废分类收集、处置和综合利用措施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生活垃圾由环卫部门定期清运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加强营运期风险防范。落实各项风险防范措施，加强设施设备的维护和管理，严格按照《突发环境事件应急预案管理暂行办法》要求制定事故环境应急预案，储备风险救助物资并组织演练，杜绝环境风险事故发生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加强环境管理，建立健全的污染防治设施运行管理台帐，设专门的环保机构，配备专人负责环保工作，确保各项污染防治设施正常运行，各类污染物稳定达标排放。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污染物总量控制指标：COD≤0.054t/a、NH3-N≤0.0081t/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a，SO2</w:t>
      </w:r>
      <w:r>
        <w:rPr>
          <w:rFonts w:hint="eastAsia" w:ascii="仿宋" w:hAnsi="仿宋" w:eastAsia="仿宋" w:cs="仿宋"/>
          <w:sz w:val="30"/>
          <w:szCs w:val="30"/>
        </w:rPr>
        <w:t>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0.816t/a，NOx</w:t>
      </w:r>
      <w:r>
        <w:rPr>
          <w:rFonts w:hint="eastAsia" w:ascii="仿宋" w:hAnsi="仿宋" w:eastAsia="仿宋" w:cs="仿宋"/>
          <w:sz w:val="30"/>
          <w:szCs w:val="30"/>
        </w:rPr>
        <w:t>≤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2.448t/a。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二、你单位应在收到本批复后15个工作日内，将批复及该项目环评报批稿送至岳阳市君山区环境监察大队、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成都元页环保科技有限公司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三、岳阳市君山区环境监察大队负责</w:t>
      </w: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</w:rPr>
        <w:t>项目建设期的日常环境监管。</w:t>
      </w:r>
      <w:bookmarkEnd w:id="1"/>
    </w:p>
    <w:p>
      <w:pPr>
        <w:spacing w:line="520" w:lineRule="exact"/>
        <w:ind w:firstLine="3840" w:firstLineChars="12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</w:p>
    <w:p>
      <w:pPr>
        <w:spacing w:line="520" w:lineRule="exact"/>
        <w:ind w:firstLine="3840" w:firstLineChars="1200"/>
        <w:rPr>
          <w:rFonts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岳阳市生态环境局君山分局</w:t>
      </w:r>
    </w:p>
    <w:p>
      <w:pPr>
        <w:spacing w:line="520" w:lineRule="exact"/>
        <w:ind w:firstLine="448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6627A"/>
    <w:rsid w:val="0049144E"/>
    <w:rsid w:val="004D382B"/>
    <w:rsid w:val="0082775E"/>
    <w:rsid w:val="00A92163"/>
    <w:rsid w:val="00DC5F66"/>
    <w:rsid w:val="00F767C8"/>
    <w:rsid w:val="04C6627A"/>
    <w:rsid w:val="0A686B0F"/>
    <w:rsid w:val="153174E5"/>
    <w:rsid w:val="270F17DF"/>
    <w:rsid w:val="344B1231"/>
    <w:rsid w:val="416D67A0"/>
    <w:rsid w:val="4D074898"/>
    <w:rsid w:val="599A27EA"/>
    <w:rsid w:val="7C8503AD"/>
    <w:rsid w:val="7E9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pBdr>
        <w:bottom w:val="single" w:color="5B9BD5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2">
    <w:name w:val="heading 3"/>
    <w:basedOn w:val="3"/>
    <w:next w:val="1"/>
    <w:unhideWhenUsed/>
    <w:qFormat/>
    <w:uiPriority w:val="9"/>
    <w:pPr>
      <w:pBdr>
        <w:bottom w:val="single" w:color="9CC2E5" w:themeColor="accent1" w:themeTint="99" w:sz="4" w:space="1"/>
      </w:pBdr>
      <w:outlineLvl w:val="2"/>
    </w:pPr>
    <w:rPr>
      <w:color w:val="5B9BD5" w:themeColor="accent1"/>
      <w14:textFill>
        <w14:solidFill>
          <w14:schemeClr w14:val="accent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5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8"/>
    <w:qFormat/>
    <w:uiPriority w:val="0"/>
    <w:pPr>
      <w:ind w:firstLine="420"/>
    </w:pPr>
  </w:style>
  <w:style w:type="paragraph" w:styleId="8">
    <w:name w:val="Body Text First Indent"/>
    <w:basedOn w:val="4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955</Characters>
  <Lines>7</Lines>
  <Paragraphs>2</Paragraphs>
  <TotalTime>2</TotalTime>
  <ScaleCrop>false</ScaleCrop>
  <LinksUpToDate>false</LinksUpToDate>
  <CharactersWithSpaces>1120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2020-07-12T13:16:00Z</dcterms:created>
  <dc:creator>Lenovo</dc:creator>
  <cp:lastModifiedBy>zp</cp:lastModifiedBy>
  <cp:lastPrinted>2021-04-15T06:36:00Z</cp:lastPrinted>
  <dcterms:modified xsi:type="dcterms:W3CDTF">2021-07-28T07:59:43Z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FBD7524EF9214032A3A47CF23637C91F</vt:lpwstr>
  </property>
</Properties>
</file>