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uto"/>
        <w:jc w:val="center"/>
      </w:pPr>
      <w:r>
        <w:t>财政部 国家税务总局 住房城乡建设部关于调整房地产交易环节契税 营业税优惠政策的通知</w:t>
      </w:r>
    </w:p>
    <w:p>
      <w:pPr>
        <w:pStyle w:val="4"/>
        <w:keepNext w:val="0"/>
        <w:keepLines w:val="0"/>
        <w:widowControl/>
        <w:suppressLineNumbers w:val="0"/>
        <w:jc w:val="center"/>
      </w:pPr>
      <w:r>
        <w:t>财税〔2016〕23号</w:t>
      </w:r>
    </w:p>
    <w:p>
      <w:pPr>
        <w:pStyle w:val="4"/>
        <w:keepNext w:val="0"/>
        <w:keepLines w:val="0"/>
        <w:widowControl/>
        <w:suppressLineNumbers w:val="0"/>
        <w:jc w:val="center"/>
      </w:pPr>
      <w:r>
        <w:t>时效性：</w:t>
      </w:r>
      <w:r>
        <w:rPr>
          <w:color w:val="FF0000"/>
        </w:rPr>
        <w:t>有效</w:t>
      </w:r>
      <w:r>
        <w:t>　成文日期：2016-02-17　施行日期：2016-02-22</w:t>
      </w:r>
    </w:p>
    <w:tbl>
      <w:tblPr>
        <w:tblW w:w="5000" w:type="pct"/>
        <w:tblInd w:w="0" w:type="dxa"/>
        <w:tblBorders>
          <w:top w:val="outset" w:color="99CCFF" w:sz="6" w:space="0"/>
          <w:left w:val="outset" w:color="99CCFF" w:sz="6" w:space="0"/>
          <w:bottom w:val="outset" w:color="99CCFF" w:sz="6" w:space="0"/>
          <w:right w:val="outset" w:color="99CCFF" w:sz="6" w:space="0"/>
          <w:insideH w:val="outset" w:color="99CCFF" w:sz="6" w:space="0"/>
          <w:insideV w:val="outset" w:color="99CCFF" w:sz="6" w:space="0"/>
        </w:tblBorders>
        <w:shd w:val="clear"/>
        <w:tblLayout w:type="autofit"/>
        <w:tblCellMar>
          <w:top w:w="60" w:type="dxa"/>
          <w:left w:w="60" w:type="dxa"/>
          <w:bottom w:w="60" w:type="dxa"/>
          <w:right w:w="60" w:type="dxa"/>
        </w:tblCellMar>
      </w:tblPr>
      <w:tblGrid>
        <w:gridCol w:w="8426"/>
      </w:tblGrid>
      <w:tr>
        <w:tblPrEx>
          <w:tblBorders>
            <w:top w:val="outset" w:color="99CCFF" w:sz="6" w:space="0"/>
            <w:left w:val="outset" w:color="99CCFF" w:sz="6" w:space="0"/>
            <w:bottom w:val="outset" w:color="99CCFF" w:sz="6" w:space="0"/>
            <w:right w:val="outset" w:color="99CCFF" w:sz="6" w:space="0"/>
            <w:insideH w:val="outset" w:color="99CCFF" w:sz="6" w:space="0"/>
            <w:insideV w:val="outset" w:color="99CCFF" w:sz="6" w:space="0"/>
          </w:tblBorders>
          <w:shd w:val="clear"/>
          <w:tblCellMar>
            <w:top w:w="60" w:type="dxa"/>
            <w:left w:w="60" w:type="dxa"/>
            <w:bottom w:w="60" w:type="dxa"/>
            <w:right w:w="60" w:type="dxa"/>
          </w:tblCellMar>
        </w:tblPrEx>
        <w:tc>
          <w:tcPr>
            <w:tcW w:w="0" w:type="auto"/>
            <w:tcBorders>
              <w:top w:val="outset" w:color="99CCFF" w:sz="6" w:space="0"/>
              <w:left w:val="outset" w:color="99CCFF" w:sz="6" w:space="0"/>
              <w:bottom w:val="outset" w:color="99CCFF" w:sz="6" w:space="0"/>
              <w:right w:val="outset" w:color="99CCFF" w:sz="6" w:space="0"/>
            </w:tcBorders>
            <w:shd w:val="clear"/>
            <w:vAlign w:val="center"/>
          </w:tcPr>
          <w:p>
            <w:pPr>
              <w:pStyle w:val="4"/>
              <w:keepNext w:val="0"/>
              <w:keepLines w:val="0"/>
              <w:widowControl/>
              <w:suppressLineNumbers w:val="0"/>
              <w:spacing w:line="560" w:lineRule="atLeast"/>
            </w:pPr>
            <w:r>
              <w:rPr>
                <w:color w:val="0066CC"/>
              </w:rPr>
              <w:t>　　</w:t>
            </w:r>
            <w:r>
              <w:rPr>
                <w:color w:val="FF0000"/>
              </w:rPr>
              <w:t>注释：</w:t>
            </w:r>
            <w:r>
              <w:t>根据2021年8月27日《财政部 税务总局关于契税法实施后有关优惠政策衔接问题的公告》（</w:t>
            </w:r>
            <w:r>
              <w:rPr>
                <w:u w:val="none"/>
              </w:rPr>
              <w:fldChar w:fldCharType="begin"/>
            </w:r>
            <w:r>
              <w:rPr>
                <w:u w:val="none"/>
              </w:rPr>
              <w:instrText xml:space="preserve"> HYPERLINK "mk:@MSITStore:D:\\Users\\Administrator\\Documents\\gkhelptax21.0831.CHM::/02.减免与优惠/1.一般规定/2016/../../../15.契税/2.具体规定/2021/csgg2021029.htm" </w:instrText>
            </w:r>
            <w:r>
              <w:rPr>
                <w:u w:val="none"/>
              </w:rPr>
              <w:fldChar w:fldCharType="separate"/>
            </w:r>
            <w:r>
              <w:rPr>
                <w:rStyle w:val="7"/>
                <w:u w:val="none"/>
              </w:rPr>
              <w:t>2021年第29号</w:t>
            </w:r>
            <w:r>
              <w:rPr>
                <w:u w:val="none"/>
              </w:rPr>
              <w:fldChar w:fldCharType="end"/>
            </w:r>
            <w:r>
              <w:t>），本文第一条、第三条中关于契税的政策继续执行。</w:t>
            </w:r>
            <w:r>
              <w:rPr>
                <w:color w:val="0066CC"/>
              </w:rPr>
              <w:br w:type="textWrapping"/>
            </w:r>
            <w:r>
              <w:rPr>
                <w:color w:val="0066CC"/>
              </w:rPr>
              <w:t>　　</w:t>
            </w:r>
            <w:r>
              <w:rPr>
                <w:color w:val="FF0000"/>
              </w:rPr>
              <w:t>注释：</w:t>
            </w:r>
            <w:r>
              <w:t>2016年3月23日《财政部 国家税务总局关于全面推开营业税改征增值税试点的通知》（</w:t>
            </w:r>
            <w:r>
              <w:fldChar w:fldCharType="begin"/>
            </w:r>
            <w:r>
              <w:instrText xml:space="preserve"> HYPERLINK "mk:@MSITStore:D:\\Users\\Administrator\\Documents\\gkhelptax21.0831.CHM::/02.减免与优惠/1.一般规定/2016/../../../03.增值税/2.具体规定/2016/cs2016036.htm" </w:instrText>
            </w:r>
            <w:r>
              <w:fldChar w:fldCharType="separate"/>
            </w:r>
            <w:r>
              <w:rPr>
                <w:rStyle w:val="7"/>
              </w:rPr>
              <w:t>财税〔2016〕36号</w:t>
            </w:r>
            <w:r>
              <w:fldChar w:fldCharType="end"/>
            </w:r>
            <w:r>
              <w:t>）规定：①个人将购买不足2年的住房对外销售的，按照5%的征收率全额缴纳增值税。②个人将购买2年以上（含2年）的住房对外销售的，免征增值税</w:t>
            </w:r>
            <w:r>
              <w:rPr>
                <w:b/>
              </w:rPr>
              <w:t>（适用于北京市、上海市、广州市和深圳市之外的地区）</w:t>
            </w:r>
            <w:r>
              <w:t>。③个人将购买2年以上（含2年）的非普通住房对外销售的，以销售收入减去购买住房价款后的差额按照5%的征收率缴纳增值税；个人将购买2年以上（含2年）的普通住房对外销售的，免征增值税。</w:t>
            </w:r>
            <w:r>
              <w:rPr>
                <w:b/>
              </w:rPr>
              <w:t>（仅适用于北京市、上海市、广州市和深圳市）。</w:t>
            </w:r>
            <w:r>
              <w:br w:type="textWrapping"/>
            </w:r>
            <w:r>
              <w:rPr>
                <w:color w:val="0066CC"/>
              </w:rPr>
              <w:t>　　</w:t>
            </w:r>
            <w:r>
              <w:rPr>
                <w:color w:val="FF0000"/>
              </w:rPr>
              <w:t>注释：</w:t>
            </w:r>
            <w:r>
              <w:t>2016年2月19日《国家税务总局纳税服务司关于配合做好调整房地产交易环节契税营业税优惠政策宣传解答工作的通知》（</w:t>
            </w:r>
            <w:r>
              <w:fldChar w:fldCharType="begin"/>
            </w:r>
            <w:r>
              <w:instrText xml:space="preserve"> HYPERLINK "mk:@MSITStore:D:\\Users\\Administrator\\Documents\\gkhelptax21.0831.CHM::/02.减免与优惠/1.一般规定/2016/sznbh2016027.htm" </w:instrText>
            </w:r>
            <w:r>
              <w:fldChar w:fldCharType="separate"/>
            </w:r>
            <w:r>
              <w:rPr>
                <w:rStyle w:val="7"/>
              </w:rPr>
              <w:t>税总纳便函〔2016〕27号</w:t>
            </w:r>
            <w:r>
              <w:fldChar w:fldCharType="end"/>
            </w:r>
            <w:r>
              <w:t>）明确了本文所涉及税收业务问题的答复口径。</w:t>
            </w:r>
            <w:r>
              <w:rPr>
                <w:color w:val="FF0000"/>
              </w:rPr>
              <w:br w:type="textWrapping"/>
            </w:r>
            <w:r>
              <w:rPr>
                <w:color w:val="FF0000"/>
              </w:rPr>
              <w:t>　　注释：</w:t>
            </w:r>
            <w:r>
              <w:t>关于契税优惠政策执行时间问题，总局财产行为税司明确：凡是于2016年2月22日及以后到税务机关申报缴纳房地产交易契税、符合本文规定税收优惠条件的，均可享受优惠税率。</w:t>
            </w:r>
            <w:r>
              <w:rPr>
                <w:color w:val="0066CC"/>
              </w:rPr>
              <w:br w:type="textWrapping"/>
            </w:r>
            <w:r>
              <w:t>　　</w:t>
            </w:r>
            <w:r>
              <w:rPr>
                <w:color w:val="FF0000"/>
              </w:rPr>
              <w:t>注释：</w:t>
            </w:r>
            <w:r>
              <w:rPr>
                <w:u w:val="none"/>
              </w:rPr>
              <w:fldChar w:fldCharType="begin"/>
            </w:r>
            <w:r>
              <w:rPr>
                <w:u w:val="none"/>
              </w:rPr>
              <w:instrText xml:space="preserve"> HYPERLINK "mk:@MSITStore:D:\\Users\\Administrator\\Documents\\gkhelptax21.0831.CHM::/02.减免与优惠/1.一般规定/2016/cs2016023.htm" \l "执行口径" </w:instrText>
            </w:r>
            <w:r>
              <w:rPr>
                <w:u w:val="none"/>
              </w:rPr>
              <w:fldChar w:fldCharType="separate"/>
            </w:r>
            <w:r>
              <w:rPr>
                <w:rStyle w:val="7"/>
                <w:u w:val="none"/>
              </w:rPr>
              <w:t>湖南执行口径问题</w:t>
            </w:r>
            <w:r>
              <w:rPr>
                <w:u w:val="none"/>
              </w:rPr>
              <w:fldChar w:fldCharType="end"/>
            </w:r>
            <w:r>
              <w:rPr>
                <w:color w:val="FF0000"/>
              </w:rPr>
              <w:br w:type="textWrapping"/>
            </w:r>
            <w:r>
              <w:t>　　</w:t>
            </w:r>
            <w:r>
              <w:rPr>
                <w:color w:val="FF0000"/>
              </w:rPr>
              <w:t>注释：</w:t>
            </w:r>
            <w:r>
              <w:rPr>
                <w:u w:val="none"/>
              </w:rPr>
              <w:fldChar w:fldCharType="begin"/>
            </w:r>
            <w:r>
              <w:rPr>
                <w:u w:val="none"/>
              </w:rPr>
              <w:instrText xml:space="preserve"> HYPERLINK "mk:@MSITStore:D:\\Users\\Administrator\\Documents\\gkhelptax21.0831.CHM::/02.减免与优惠/1.一般规定/2016/cs2016023.htm" \l "优惠政策对照表" </w:instrText>
            </w:r>
            <w:r>
              <w:rPr>
                <w:u w:val="none"/>
              </w:rPr>
              <w:fldChar w:fldCharType="separate"/>
            </w:r>
            <w:r>
              <w:rPr>
                <w:rStyle w:val="7"/>
                <w:u w:val="none"/>
              </w:rPr>
              <w:t>湖南省房地产交易环节契税 营业税新旧优惠政策对照表</w:t>
            </w:r>
            <w:r>
              <w:rPr>
                <w:u w:val="none"/>
              </w:rPr>
              <w:fldChar w:fldCharType="end"/>
            </w:r>
          </w:p>
        </w:tc>
      </w:tr>
    </w:tbl>
    <w:p>
      <w:pPr>
        <w:pStyle w:val="4"/>
        <w:keepNext w:val="0"/>
        <w:keepLines w:val="0"/>
        <w:widowControl/>
        <w:suppressLineNumbers w:val="0"/>
        <w:spacing w:line="560" w:lineRule="atLeast"/>
      </w:pPr>
      <w:r>
        <w:t>各省、自治区、直辖市、计划单列市财政厅（局）、地方税务局、住房城乡建设厅（建委、房地局），西藏、宁夏、青海省（自治区）国家税务局，新疆生产建设兵团财务局、建设局：</w:t>
      </w:r>
      <w:r>
        <w:br w:type="textWrapping"/>
      </w:r>
      <w:r>
        <w:t>　　根据国务院有关部署，现就调整房地产交易环节契税、营业税优惠政策通知如下：</w:t>
      </w:r>
      <w:r>
        <w:br w:type="textWrapping"/>
      </w:r>
      <w:r>
        <w:t>　　</w:t>
      </w:r>
      <w:r>
        <w:rPr>
          <w:b/>
        </w:rPr>
        <w:t>一、关于契税政策</w:t>
      </w:r>
      <w:r>
        <w:br w:type="textWrapping"/>
      </w:r>
      <w:r>
        <w:t>　　（一）对个人购买家庭唯一住房（家庭成员范围包括购房人、配偶以及未成年子女，下同），面积为90平方米及以下的，减按1%的税率征收契税；面积为90平方米以上的，减按1.5%的税率征收契税。</w:t>
      </w:r>
      <w:r>
        <w:br w:type="textWrapping"/>
      </w:r>
      <w:r>
        <w:t>　　（二）对个人购买家庭第二套改善性住房，面积为90平方米及以下的，减按1%的税率征收契税；面积为90平方米以上的，减按2%的税率征收契税。</w:t>
      </w:r>
      <w:r>
        <w:br w:type="textWrapping"/>
      </w:r>
      <w:r>
        <w:t>　　家庭第二套改善性住房是指已拥有一套住房的家庭，购买的家庭第二套住房。</w:t>
      </w:r>
      <w:r>
        <w:br w:type="textWrapping"/>
      </w:r>
      <w:r>
        <w:t>　　（三）纳税人申请享受税收优惠的，根据纳税人的申请或授权，由购房所在地的房地产主管部门出具纳税人家庭住房情况书面查询结果，并将查询结果和相关住房信息及时传递给税务机关。暂不具备查询条件而不能提供家庭住房查询结果的，纳税人应向税务机关提交家庭住房实有套数书面诚信保证，诚信保证不实的，属于虚假纳税申报，按照《中华人民共和国税收征收管理法》的有关规定处理，并将不诚信记录纳入个人征信系统。</w:t>
      </w:r>
      <w:r>
        <w:br w:type="textWrapping"/>
      </w:r>
      <w:r>
        <w:t>　　按照便民、高效原则，房地产主管部门应按规定及时出具纳税人家庭住房情况书面查询结果，税务机关应对纳税人提出的税收优惠申请限时办结。</w:t>
      </w:r>
      <w:r>
        <w:br w:type="textWrapping"/>
      </w:r>
      <w:r>
        <w:t>　　（四）具体操作办法由各省、自治区、直辖市财政、税务、房地产主管部门共同制定。</w:t>
      </w:r>
      <w:r>
        <w:br w:type="textWrapping"/>
      </w:r>
      <w:r>
        <w:t>　　</w:t>
      </w:r>
      <w:r>
        <w:rPr>
          <w:b/>
        </w:rPr>
        <w:t>二、关于营业税政策</w:t>
      </w:r>
      <w:r>
        <w:br w:type="textWrapping"/>
      </w:r>
      <w:r>
        <w:t>　　个人将购买不足2年的住房对外销售的，全额征收营业税；个人将购买2年以上（含2年）的住房对外销售的，免征营业税。</w:t>
      </w:r>
      <w:r>
        <w:br w:type="textWrapping"/>
      </w:r>
      <w:r>
        <w:t>　　办理免税的具体程序、购买房屋的时间、开具发票、非购买形式取得住房行为及其他相关税收管理规定，按照《国务院办公厅转发建设部等部门关于做好稳定住房价格工作意见的通知》（</w:t>
      </w:r>
      <w:r>
        <w:fldChar w:fldCharType="begin"/>
      </w:r>
      <w:r>
        <w:instrText xml:space="preserve"> HYPERLINK "mk:@MSITStore:D:\\Users\\Administrator\\Documents\\gkhelptax21.0831.CHM::/02.减免与优惠/1.一般规定/2016/../../../01.综合类/1.一般规定/2005/gbf05026.htm" </w:instrText>
      </w:r>
      <w:r>
        <w:fldChar w:fldCharType="separate"/>
      </w:r>
      <w:r>
        <w:rPr>
          <w:rStyle w:val="7"/>
        </w:rPr>
        <w:t>国办发﹝2005﹞26号</w:t>
      </w:r>
      <w:r>
        <w:fldChar w:fldCharType="end"/>
      </w:r>
      <w:r>
        <w:t>）、《国家税务总局 财政部 建设部关于加强房地产税收管理的通知》（</w:t>
      </w:r>
      <w:r>
        <w:fldChar w:fldCharType="begin"/>
      </w:r>
      <w:r>
        <w:instrText xml:space="preserve"> HYPERLINK "mk:@MSITStore:D:\\Users\\Administrator\\Documents\\gkhelptax21.0831.CHM::/02.减免与优惠/1.一般规定/2016/../../../21.征收管理类/01.征收管理/2.具体规定/2005/gsf05089.htm" </w:instrText>
      </w:r>
      <w:r>
        <w:fldChar w:fldCharType="separate"/>
      </w:r>
      <w:r>
        <w:rPr>
          <w:rStyle w:val="7"/>
        </w:rPr>
        <w:t>国税发﹝2005﹞89号</w:t>
      </w:r>
      <w:r>
        <w:fldChar w:fldCharType="end"/>
      </w:r>
      <w:r>
        <w:t>）和《国家税务总局关于房地产税收政策执行中几个具体问题的通知》（</w:t>
      </w:r>
      <w:r>
        <w:fldChar w:fldCharType="begin"/>
      </w:r>
      <w:r>
        <w:instrText xml:space="preserve"> HYPERLINK "mk:@MSITStore:D:\\Users\\Administrator\\Documents\\gkhelptax21.0831.CHM::/02.减免与优惠/1.一般规定/2016/../../../01.综合类/1.一般规定/2005/gsf05172.htm" </w:instrText>
      </w:r>
      <w:r>
        <w:fldChar w:fldCharType="separate"/>
      </w:r>
      <w:r>
        <w:rPr>
          <w:rStyle w:val="7"/>
        </w:rPr>
        <w:t>国税发﹝2005﹞172号</w:t>
      </w:r>
      <w:r>
        <w:fldChar w:fldCharType="end"/>
      </w:r>
      <w:r>
        <w:t>）的有关规定执行。</w:t>
      </w:r>
      <w:r>
        <w:br w:type="textWrapping"/>
      </w:r>
      <w:r>
        <w:t>　　</w:t>
      </w:r>
      <w:r>
        <w:rPr>
          <w:b/>
        </w:rPr>
        <w:t>三、关于实施范围</w:t>
      </w:r>
      <w:r>
        <w:br w:type="textWrapping"/>
      </w:r>
      <w:r>
        <w:t>　　北京市、上海市、广州市、深圳市暂不实施本通知第一条第二项契税优惠政策及第二条营业税优惠政策，上述城市个人住房转让营业税政策仍按照《财政部 国家税务总局关于调整个人住房转让营业税政策的通知》（</w:t>
      </w:r>
      <w:r>
        <w:fldChar w:fldCharType="begin"/>
      </w:r>
      <w:r>
        <w:instrText xml:space="preserve"> HYPERLINK "mk:@MSITStore:D:\\Users\\Administrator\\Documents\\gkhelptax21.0831.CHM::/02.减免与优惠/1.一般规定/2016/../../../26.营业税/2.具体规定/2015/cs2015039.htm" </w:instrText>
      </w:r>
      <w:r>
        <w:fldChar w:fldCharType="separate"/>
      </w:r>
      <w:r>
        <w:rPr>
          <w:rStyle w:val="7"/>
        </w:rPr>
        <w:t>财税〔2015〕39号</w:t>
      </w:r>
      <w:r>
        <w:fldChar w:fldCharType="end"/>
      </w:r>
      <w:r>
        <w:t>）执行。</w:t>
      </w:r>
      <w:r>
        <w:br w:type="textWrapping"/>
      </w:r>
      <w:r>
        <w:t>　　上述城市以外的其他地区适用本通知全部规定。</w:t>
      </w:r>
      <w:r>
        <w:br w:type="textWrapping"/>
      </w:r>
      <w:r>
        <w:t xml:space="preserve">　　本通知自2016年2月22日起执行。 </w:t>
      </w:r>
    </w:p>
    <w:p>
      <w:pPr>
        <w:pStyle w:val="4"/>
        <w:keepNext w:val="0"/>
        <w:keepLines w:val="0"/>
        <w:widowControl/>
        <w:suppressLineNumbers w:val="0"/>
        <w:spacing w:line="500" w:lineRule="atLeast"/>
        <w:jc w:val="right"/>
      </w:pPr>
      <w:r>
        <w:t>财政部 国家税务总局 住房城乡建设部</w:t>
      </w:r>
      <w:r>
        <w:br w:type="textWrapping"/>
      </w:r>
      <w:r>
        <w:t>2016年2月17日</w:t>
      </w:r>
    </w:p>
    <w:p>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spacing w:line="360" w:lineRule="auto"/>
        <w:jc w:val="center"/>
      </w:pPr>
      <w:r>
        <w:t>关于财税〔2016〕23号文件契税的</w:t>
      </w:r>
      <w:bookmarkStart w:id="0" w:name="执行口径"/>
      <w:r>
        <w:t>执行口径</w:t>
      </w:r>
      <w:bookmarkEnd w:id="0"/>
      <w:r>
        <w:t>问题</w:t>
      </w:r>
    </w:p>
    <w:p>
      <w:pPr>
        <w:pStyle w:val="4"/>
        <w:keepNext w:val="0"/>
        <w:keepLines w:val="0"/>
        <w:widowControl/>
        <w:suppressLineNumbers w:val="0"/>
        <w:jc w:val="center"/>
      </w:pPr>
      <w:r>
        <w:t>湖南省税务局财行税处</w:t>
      </w:r>
    </w:p>
    <w:p>
      <w:pPr>
        <w:pStyle w:val="4"/>
        <w:keepNext w:val="0"/>
        <w:keepLines w:val="0"/>
        <w:widowControl/>
        <w:suppressLineNumbers w:val="0"/>
        <w:jc w:val="center"/>
      </w:pPr>
      <w:r>
        <w:t xml:space="preserve">2019-06-17 </w:t>
      </w:r>
    </w:p>
    <w:p>
      <w:pPr>
        <w:pStyle w:val="4"/>
        <w:keepNext w:val="0"/>
        <w:keepLines w:val="0"/>
        <w:widowControl/>
        <w:suppressLineNumbers w:val="0"/>
        <w:spacing w:line="560" w:lineRule="atLeast"/>
      </w:pPr>
      <w:r>
        <w:t>　　近日，有纳税人在12366询问两个家庭共同购买住房的契税优惠政策适用问题，经请示国家税务总局，按以下口径执行：</w:t>
      </w:r>
      <w:r>
        <w:br w:type="textWrapping"/>
      </w:r>
      <w:r>
        <w:t xml:space="preserve">　　1.《通知》所指的家庭：成员范围包括购房人、配偶及未成年子女；继父或继母和受其抚养的未成年继子女；办理收养关系证明的养父母和未成年子女。上述三种情形都属于同一家庭成员范围。  </w:t>
      </w:r>
      <w:r>
        <w:br w:type="textWrapping"/>
      </w:r>
      <w:r>
        <w:t>　　2.关于不同家庭共同购买一套普通住房如何适用契税优惠问题：对于两个或两个以上家庭共同购买一套普通住房，以每个家庭为单位分别认定纳税人是否符合现行优惠条件，分别确定适用税率，并按每个家庭所占该共同购买房屋的份额（指计税依据）分别计算缴纳契税。</w:t>
      </w:r>
      <w:r>
        <w:br w:type="textWrapping"/>
      </w:r>
      <w:r>
        <w:t>　　3.住房面积的确定问题：面积不分割，即在确认住房面积时，不能按份额对住房面积进行分割，应按住房的全面积分别认定并适用相应税率，如一套120平方米的房屋，两个家庭各占一半，不能视为90平方以下，两个家庭均按90平以上确定。</w:t>
      </w:r>
      <w:r>
        <w:br w:type="textWrapping"/>
      </w:r>
      <w:r>
        <w:t>　　注意：份额是指计税依据，比如房价100万，你占40%，那按40万收税。总局回复房子面积不分割，你占40%，也按总面积确定税率，这个口径全国一致。</w:t>
      </w:r>
    </w:p>
    <w:p>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pPr>
        <w:pStyle w:val="4"/>
        <w:keepNext w:val="0"/>
        <w:keepLines w:val="0"/>
        <w:widowControl/>
        <w:suppressLineNumbers w:val="0"/>
        <w:spacing w:line="560" w:lineRule="atLeast"/>
      </w:pPr>
      <w:r>
        <w:rPr>
          <w:b/>
          <w:sz w:val="24"/>
          <w:szCs w:val="24"/>
        </w:rPr>
        <w:t>参考资料：</w:t>
      </w:r>
      <w:r>
        <w:t xml:space="preserve"> </w:t>
      </w:r>
    </w:p>
    <w:p>
      <w:pPr>
        <w:pStyle w:val="2"/>
        <w:keepNext w:val="0"/>
        <w:keepLines w:val="0"/>
        <w:widowControl/>
        <w:suppressLineNumbers w:val="0"/>
        <w:spacing w:line="560" w:lineRule="atLeast"/>
        <w:jc w:val="center"/>
      </w:pPr>
      <w:r>
        <w:t>湖南省房地产交易环节契税 营业税新旧</w:t>
      </w:r>
      <w:bookmarkStart w:id="1" w:name="优惠政策对照表"/>
      <w:r>
        <w:t>优惠政策对照表</w:t>
      </w:r>
      <w:bookmarkEnd w:id="1"/>
    </w:p>
    <w:tbl>
      <w:tblPr>
        <w:tblW w:w="4750"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20" w:type="dxa"/>
          <w:left w:w="120" w:type="dxa"/>
          <w:bottom w:w="120" w:type="dxa"/>
          <w:right w:w="120" w:type="dxa"/>
        </w:tblCellMar>
      </w:tblPr>
      <w:tblGrid>
        <w:gridCol w:w="617"/>
        <w:gridCol w:w="2383"/>
        <w:gridCol w:w="2295"/>
        <w:gridCol w:w="1324"/>
        <w:gridCol w:w="150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20" w:type="dxa"/>
            <w:left w:w="120" w:type="dxa"/>
            <w:bottom w:w="120" w:type="dxa"/>
            <w:right w:w="120" w:type="dxa"/>
          </w:tblCellMar>
        </w:tblPrEx>
        <w:trPr>
          <w:trHeight w:val="765" w:hRule="atLeast"/>
          <w:jc w:val="center"/>
        </w:trPr>
        <w:tc>
          <w:tcPr>
            <w:tcW w:w="3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b/>
                <w:kern w:val="0"/>
                <w:sz w:val="24"/>
                <w:szCs w:val="24"/>
                <w:lang w:val="en-US" w:eastAsia="zh-CN" w:bidi="ar"/>
              </w:rPr>
              <w:t>税种</w:t>
            </w:r>
          </w:p>
        </w:tc>
        <w:tc>
          <w:tcPr>
            <w:tcW w:w="13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rPr>
                <w:b/>
              </w:rPr>
              <w:t>住房类型</w:t>
            </w: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rPr>
                <w:b/>
              </w:rPr>
              <w:t>面积</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rPr>
                <w:b/>
              </w:rPr>
              <w:t>旧政策税率</w:t>
            </w:r>
          </w:p>
        </w:tc>
        <w:tc>
          <w:tcPr>
            <w:tcW w:w="8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b/>
                <w:kern w:val="0"/>
                <w:sz w:val="24"/>
                <w:szCs w:val="24"/>
                <w:lang w:val="en-US" w:eastAsia="zh-CN" w:bidi="ar"/>
              </w:rPr>
              <w:t>新政策税率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20" w:type="dxa"/>
            <w:left w:w="120" w:type="dxa"/>
            <w:bottom w:w="120" w:type="dxa"/>
            <w:right w:w="120" w:type="dxa"/>
          </w:tblCellMar>
        </w:tblPrEx>
        <w:trPr>
          <w:jc w:val="center"/>
        </w:trPr>
        <w:tc>
          <w:tcPr>
            <w:tcW w:w="350" w:type="pct"/>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契　税</w:t>
            </w:r>
          </w:p>
        </w:tc>
        <w:tc>
          <w:tcPr>
            <w:tcW w:w="1350" w:type="pct"/>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个人购买家庭唯一住房</w:t>
            </w: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90m</w:t>
            </w:r>
            <w:r>
              <w:rPr>
                <w:vertAlign w:val="superscript"/>
              </w:rPr>
              <w:t>2</w:t>
            </w:r>
            <w:r>
              <w:t>（含）以下</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t>1%</w:t>
            </w:r>
          </w:p>
        </w:tc>
        <w:tc>
          <w:tcPr>
            <w:tcW w:w="8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20" w:type="dxa"/>
            <w:left w:w="120" w:type="dxa"/>
            <w:bottom w:w="120" w:type="dxa"/>
            <w:right w:w="120" w:type="dxa"/>
          </w:tblCellMar>
        </w:tblPrEx>
        <w:trPr>
          <w:jc w:val="center"/>
        </w:trPr>
        <w:tc>
          <w:tcPr>
            <w:tcW w:w="350" w:type="pct"/>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35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90m</w:t>
            </w:r>
            <w:r>
              <w:rPr>
                <w:vertAlign w:val="superscript"/>
              </w:rPr>
              <w:t>2</w:t>
            </w:r>
            <w:r>
              <w:t>～144m</w:t>
            </w:r>
            <w:r>
              <w:rPr>
                <w:vertAlign w:val="superscript"/>
              </w:rPr>
              <w:t>2</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t>减半征收（2%）</w:t>
            </w:r>
          </w:p>
        </w:tc>
        <w:tc>
          <w:tcPr>
            <w:tcW w:w="8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20" w:type="dxa"/>
            <w:left w:w="120" w:type="dxa"/>
            <w:bottom w:w="120" w:type="dxa"/>
            <w:right w:w="120" w:type="dxa"/>
          </w:tblCellMar>
        </w:tblPrEx>
        <w:trPr>
          <w:jc w:val="center"/>
        </w:trPr>
        <w:tc>
          <w:tcPr>
            <w:tcW w:w="350" w:type="pct"/>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35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144m</w:t>
            </w:r>
            <w:r>
              <w:rPr>
                <w:vertAlign w:val="superscript"/>
              </w:rPr>
              <w:t>2</w:t>
            </w:r>
            <w:r>
              <w:t>（含144m</w:t>
            </w:r>
            <w:r>
              <w:rPr>
                <w:vertAlign w:val="superscript"/>
              </w:rPr>
              <w:t>2</w:t>
            </w:r>
            <w:r>
              <w:t>）以上</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t>4%</w:t>
            </w:r>
          </w:p>
        </w:tc>
        <w:tc>
          <w:tcPr>
            <w:tcW w:w="8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20" w:type="dxa"/>
            <w:left w:w="120" w:type="dxa"/>
            <w:bottom w:w="120" w:type="dxa"/>
            <w:right w:w="120" w:type="dxa"/>
          </w:tblCellMar>
        </w:tblPrEx>
        <w:trPr>
          <w:jc w:val="center"/>
        </w:trPr>
        <w:tc>
          <w:tcPr>
            <w:tcW w:w="350" w:type="pct"/>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350" w:type="pct"/>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个人购买家庭第二套改善性住房</w:t>
            </w: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90m</w:t>
            </w:r>
            <w:r>
              <w:rPr>
                <w:vertAlign w:val="superscript"/>
              </w:rPr>
              <w:t>2</w:t>
            </w:r>
            <w:r>
              <w:t>（含）以下</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t>4%</w:t>
            </w:r>
          </w:p>
        </w:tc>
        <w:tc>
          <w:tcPr>
            <w:tcW w:w="8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20" w:type="dxa"/>
            <w:left w:w="120" w:type="dxa"/>
            <w:bottom w:w="120" w:type="dxa"/>
            <w:right w:w="120" w:type="dxa"/>
          </w:tblCellMar>
        </w:tblPrEx>
        <w:trPr>
          <w:jc w:val="center"/>
        </w:trPr>
        <w:tc>
          <w:tcPr>
            <w:tcW w:w="350" w:type="pct"/>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35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90m</w:t>
            </w:r>
            <w:r>
              <w:rPr>
                <w:vertAlign w:val="superscript"/>
              </w:rPr>
              <w:t>2</w:t>
            </w:r>
            <w:r>
              <w:t>～144m</w:t>
            </w:r>
            <w:r>
              <w:rPr>
                <w:vertAlign w:val="superscript"/>
              </w:rPr>
              <w:t>2</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t>4%</w:t>
            </w:r>
          </w:p>
        </w:tc>
        <w:tc>
          <w:tcPr>
            <w:tcW w:w="8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20" w:type="dxa"/>
            <w:left w:w="120" w:type="dxa"/>
            <w:bottom w:w="120" w:type="dxa"/>
            <w:right w:w="120" w:type="dxa"/>
          </w:tblCellMar>
        </w:tblPrEx>
        <w:trPr>
          <w:jc w:val="center"/>
        </w:trPr>
        <w:tc>
          <w:tcPr>
            <w:tcW w:w="350" w:type="pct"/>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35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144m</w:t>
            </w:r>
            <w:r>
              <w:rPr>
                <w:vertAlign w:val="superscript"/>
              </w:rPr>
              <w:t>2</w:t>
            </w:r>
            <w:r>
              <w:t>（含144m</w:t>
            </w:r>
            <w:r>
              <w:rPr>
                <w:vertAlign w:val="superscript"/>
              </w:rPr>
              <w:t>2</w:t>
            </w:r>
            <w:r>
              <w:t>）以上</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t>4%</w:t>
            </w:r>
          </w:p>
        </w:tc>
        <w:tc>
          <w:tcPr>
            <w:tcW w:w="8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20" w:type="dxa"/>
            <w:left w:w="120" w:type="dxa"/>
            <w:bottom w:w="120" w:type="dxa"/>
            <w:right w:w="120" w:type="dxa"/>
          </w:tblCellMar>
        </w:tblPrEx>
        <w:trPr>
          <w:jc w:val="center"/>
        </w:trPr>
        <w:tc>
          <w:tcPr>
            <w:tcW w:w="350" w:type="pct"/>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3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个人购买家庭第三套及以上住房</w:t>
            </w: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所有面积</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t>4%</w:t>
            </w:r>
          </w:p>
        </w:tc>
        <w:tc>
          <w:tcPr>
            <w:tcW w:w="8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20" w:type="dxa"/>
            <w:left w:w="120" w:type="dxa"/>
            <w:bottom w:w="120" w:type="dxa"/>
            <w:right w:w="120" w:type="dxa"/>
          </w:tblCellMar>
        </w:tblPrEx>
        <w:trPr>
          <w:jc w:val="center"/>
        </w:trPr>
        <w:tc>
          <w:tcPr>
            <w:tcW w:w="350" w:type="pct"/>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营业税</w:t>
            </w:r>
          </w:p>
        </w:tc>
        <w:tc>
          <w:tcPr>
            <w:tcW w:w="1350" w:type="pct"/>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个人将购买不足2年的住房对外销售的</w:t>
            </w: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144m</w:t>
            </w:r>
            <w:r>
              <w:rPr>
                <w:vertAlign w:val="superscript"/>
              </w:rPr>
              <w:t>2</w:t>
            </w:r>
            <w:r>
              <w:t>以下（普通住房)</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t>5%</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20" w:type="dxa"/>
            <w:left w:w="120" w:type="dxa"/>
            <w:bottom w:w="120" w:type="dxa"/>
            <w:right w:w="120" w:type="dxa"/>
          </w:tblCellMar>
        </w:tblPrEx>
        <w:trPr>
          <w:jc w:val="center"/>
        </w:trPr>
        <w:tc>
          <w:tcPr>
            <w:tcW w:w="350" w:type="pct"/>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35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144m</w:t>
            </w:r>
            <w:r>
              <w:rPr>
                <w:vertAlign w:val="superscript"/>
              </w:rPr>
              <w:t>2</w:t>
            </w:r>
            <w:r>
              <w:t>（含）以上（非普通住房)</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t>5%</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20" w:type="dxa"/>
            <w:left w:w="120" w:type="dxa"/>
            <w:bottom w:w="120" w:type="dxa"/>
            <w:right w:w="120" w:type="dxa"/>
          </w:tblCellMar>
        </w:tblPrEx>
        <w:trPr>
          <w:jc w:val="center"/>
        </w:trPr>
        <w:tc>
          <w:tcPr>
            <w:tcW w:w="350" w:type="pct"/>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350" w:type="pct"/>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个人将购买2年以上（含2年)的住房对外销售的</w:t>
            </w: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144m</w:t>
            </w:r>
            <w:r>
              <w:rPr>
                <w:vertAlign w:val="superscript"/>
              </w:rPr>
              <w:t>2</w:t>
            </w:r>
            <w:r>
              <w:t>以下（普通住房)</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t>免征</w:t>
            </w:r>
          </w:p>
        </w:tc>
        <w:tc>
          <w:tcPr>
            <w:tcW w:w="8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免征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20" w:type="dxa"/>
            <w:left w:w="120" w:type="dxa"/>
            <w:bottom w:w="120" w:type="dxa"/>
            <w:right w:w="120" w:type="dxa"/>
          </w:tblCellMar>
        </w:tblPrEx>
        <w:trPr>
          <w:jc w:val="center"/>
        </w:trPr>
        <w:tc>
          <w:tcPr>
            <w:tcW w:w="350" w:type="pct"/>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35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30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pPr>
            <w:r>
              <w:t>144m</w:t>
            </w:r>
            <w:r>
              <w:rPr>
                <w:vertAlign w:val="superscript"/>
              </w:rPr>
              <w:t>2</w:t>
            </w:r>
            <w:r>
              <w:t>（含）以上（非普通住房)</w:t>
            </w:r>
          </w:p>
        </w:tc>
        <w:tc>
          <w:tcPr>
            <w:tcW w:w="750" w:type="pc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spacing w:line="360" w:lineRule="auto"/>
              <w:jc w:val="center"/>
            </w:pPr>
            <w:r>
              <w:t>按5%差额征税</w:t>
            </w:r>
          </w:p>
        </w:tc>
        <w:tc>
          <w:tcPr>
            <w:tcW w:w="850" w:type="pc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免征</w:t>
            </w:r>
          </w:p>
        </w:tc>
      </w:tr>
    </w:tbl>
    <w:p>
      <w:pPr>
        <w:pStyle w:val="4"/>
        <w:keepNext w:val="0"/>
        <w:keepLines w:val="0"/>
        <w:widowControl/>
        <w:suppressLineNumbers w:val="0"/>
        <w:spacing w:line="560" w:lineRule="atLeast"/>
      </w:pPr>
      <w:r>
        <w:t>　　</w:t>
      </w:r>
      <w:r>
        <w:rPr>
          <w:color w:val="FF0000"/>
        </w:rPr>
        <w:t>注：</w:t>
      </w:r>
      <w:r>
        <w:rPr>
          <w:color w:val="FF0000"/>
        </w:rPr>
        <w:br w:type="textWrapping"/>
      </w:r>
      <w:r>
        <w:rPr>
          <w:color w:val="FF0000"/>
        </w:rPr>
        <w:t>　　</w:t>
      </w:r>
      <w:r>
        <w:t>1.计税依据为房屋成交价格（另参见：</w:t>
      </w:r>
      <w:r>
        <w:fldChar w:fldCharType="begin"/>
      </w:r>
      <w:r>
        <w:instrText xml:space="preserve"> HYPERLINK "mk:@MSITStore:D:\\Users\\Administrator\\Documents\\gkhelptax21.0831.CHM::/02.减免与优惠/1.一般规定/2016/../../../01.综合类/1.一般规定/2016/cs2016043.htm" </w:instrText>
      </w:r>
      <w:r>
        <w:fldChar w:fldCharType="separate"/>
      </w:r>
      <w:r>
        <w:rPr>
          <w:rStyle w:val="7"/>
        </w:rPr>
        <w:t>财税〔2016〕43号</w:t>
      </w:r>
      <w:r>
        <w:fldChar w:fldCharType="end"/>
      </w:r>
      <w:r>
        <w:t>《财政部 国家税务总局关于营改增后契税 房产税 土地增值税 个人所得税计税依据问题的通知》），成交价格明显低于市场价格且无正当理由的，由征收机关参照市场价格核定。</w:t>
      </w:r>
      <w:r>
        <w:br w:type="textWrapping"/>
      </w:r>
      <w:r>
        <w:t>　　2.本表仅供参考，非普通住房是否包含144m</w:t>
      </w:r>
      <w:r>
        <w:rPr>
          <w:vertAlign w:val="superscript"/>
        </w:rPr>
        <w:t>2</w:t>
      </w:r>
      <w:r>
        <w:fldChar w:fldCharType="begin"/>
      </w:r>
      <w:r>
        <w:instrText xml:space="preserve"> HYPERLINK "mk:@MSITStore:D:\\Users\\Administrator\\Documents\\gkhelptax21.0831.CHM::/02.减免与优惠/1.一般规定/2016/../../../01.综合类/2.湖南省文件/2005/xzbf2005023zhhn.htm" </w:instrText>
      </w:r>
      <w:r>
        <w:fldChar w:fldCharType="separate"/>
      </w:r>
      <w:r>
        <w:rPr>
          <w:rStyle w:val="7"/>
        </w:rPr>
        <w:t>湘政办发〔2005〕23号</w:t>
      </w:r>
      <w:r>
        <w:fldChar w:fldCharType="end"/>
      </w:r>
      <w:r>
        <w:t>未明确，本表采用《湖南省地方税务局 湖南省财政厅 湖南省建设厅转发国家税务总局 财政部 建设部关于加强房地产税收管理的通知》(</w:t>
      </w:r>
      <w:r>
        <w:fldChar w:fldCharType="begin"/>
      </w:r>
      <w:r>
        <w:instrText xml:space="preserve"> HYPERLINK "mk:@MSITStore:D:\\Users\\Administrator\\Documents\\gkhelptax21.0831.CHM::/02.减免与优惠/1.一般规定/2016/../../../27.废止失效/21.征管类/1.征管/湖南/xdsf05061.htm" </w:instrText>
      </w:r>
      <w:r>
        <w:fldChar w:fldCharType="separate"/>
      </w:r>
      <w:r>
        <w:rPr>
          <w:rStyle w:val="7"/>
        </w:rPr>
        <w:t>湘地税发〔2005〕61号</w:t>
      </w:r>
      <w:r>
        <w:fldChar w:fldCharType="end"/>
      </w:r>
      <w:r>
        <w:t>)所规定的标准，144m</w:t>
      </w:r>
      <w:r>
        <w:rPr>
          <w:vertAlign w:val="superscript"/>
        </w:rPr>
        <w:t>2</w:t>
      </w:r>
      <w:r>
        <w:t>的住房为非普通住房。（长沙市普通住房包含144m</w:t>
      </w:r>
      <w:r>
        <w:rPr>
          <w:vertAlign w:val="superscript"/>
        </w:rPr>
        <w:t>2</w:t>
      </w:r>
      <w:r>
        <w:t>的住房）</w:t>
      </w:r>
    </w:p>
    <w:p>
      <w:pPr>
        <w:pStyle w:val="4"/>
        <w:keepNext w:val="0"/>
        <w:keepLines w:val="0"/>
        <w:widowControl/>
        <w:suppressLineNumbers w:val="0"/>
        <w:spacing w:line="560" w:lineRule="atLeast"/>
      </w:pPr>
      <w:r>
        <w:t>　</w:t>
      </w:r>
    </w:p>
    <w:p>
      <w:pPr>
        <w:pStyle w:val="4"/>
        <w:keepNext w:val="0"/>
        <w:keepLines w:val="0"/>
        <w:widowControl/>
        <w:suppressLineNumbers w:val="0"/>
      </w:pPr>
      <w:r>
        <w:t>　　</w:t>
      </w:r>
      <w:r>
        <w:rPr>
          <w:color w:val="008080"/>
        </w:rPr>
        <w:t>检索文号日期等：财税2016023号　20160217</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17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2021-11-03T06:12:36Z</dcterms:created>
  <dc:creator>Administrator</dc:creator>
  <cp:lastModifiedBy>高翔</cp:lastModifiedBy>
  <dcterms:modified xsi:type="dcterms:W3CDTF">2021-11-03T06:12:44Z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