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bookmarkStart w:id="0" w:name="_GoBack"/>
      <w:bookmarkEnd w:id="0"/>
    </w:p>
    <w:p>
      <w:pPr>
        <w:pStyle w:val="2"/>
        <w:rPr>
          <w:rFonts w:hint="eastAsia"/>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岳阳市君山区残疾人联合会</w:t>
      </w:r>
    </w:p>
    <w:p>
      <w:pPr>
        <w:spacing w:before="301" w:beforeLines="50" w:line="348" w:lineRule="auto"/>
        <w:ind w:firstLine="476" w:firstLineChars="150"/>
        <w:rPr>
          <w:rFonts w:eastAsia="Times New Roman"/>
          <w:spacing w:val="20"/>
          <w:sz w:val="32"/>
          <w:szCs w:val="32"/>
          <w:u w:val="single"/>
        </w:rPr>
      </w:pPr>
      <w:r>
        <w:rPr>
          <w:rFonts w:hint="eastAsia" w:eastAsia="仿宋_GB2312"/>
          <w:sz w:val="32"/>
          <w:szCs w:val="32"/>
        </w:rPr>
        <w:t>预</w:t>
      </w:r>
      <w:r>
        <w:rPr>
          <w:rFonts w:hint="eastAsia" w:eastAsia="仿宋_GB2312"/>
          <w:spacing w:val="30"/>
          <w:sz w:val="32"/>
          <w:szCs w:val="32"/>
        </w:rPr>
        <w:t xml:space="preserve"> 算 编 码：</w:t>
      </w:r>
      <w:r>
        <w:rPr>
          <w:rFonts w:eastAsia="Times New Roman"/>
          <w:spacing w:val="20"/>
          <w:sz w:val="32"/>
          <w:szCs w:val="32"/>
          <w:u w:val="single"/>
        </w:rPr>
        <w:t>117</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07</w:t>
      </w:r>
      <w:r>
        <w:rPr>
          <w:rFonts w:hint="eastAsia" w:eastAsia="仿宋_GB2312"/>
          <w:sz w:val="32"/>
        </w:rPr>
        <w:t>月</w:t>
      </w:r>
      <w:r>
        <w:rPr>
          <w:rFonts w:hint="eastAsia" w:eastAsia="仿宋_GB2312"/>
          <w:sz w:val="32"/>
          <w:lang w:val="en-US" w:eastAsia="zh-CN"/>
        </w:rPr>
        <w:t>02</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宋体" w:hAnsi="宋体" w:cs="宋体"/>
                <w:color w:val="000000"/>
                <w:sz w:val="24"/>
              </w:rPr>
              <w:t>刘芳</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_GB2312" w:hAnsi="??_GB2312" w:eastAsia="Times New Roman"/>
                <w:color w:val="000000"/>
                <w:sz w:val="24"/>
              </w:rPr>
              <w:t>13575032060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团结教育残疾人遵守法律法规；2、弘扬人道主义，宣传残疾人事业；3、协助区政府研究、制定和实施残疾人事业的政策、规划和计划；4、指导开展残疾人康复、扶贫、教育、劳动就业、文化、体育、科研、服务器用具供应、福利、社会服务、无障碍设施和残疾预防工作，创造良好的社会环境和条件，扶助残疾人平等地参与社会生活；5、承担区政府残疾人工作委员会的日常工作；6、承办区委、区政府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残疾人脱贫攻坚成效明显。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残疾人康复服务扩面提质。</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任务3：</w:t>
            </w:r>
            <w:r>
              <w:rPr>
                <w:rFonts w:hint="eastAsia" w:ascii="仿宋_GB2312" w:hAnsi="仿宋_GB2312" w:eastAsia="仿宋_GB2312" w:cs="仿宋_GB2312"/>
                <w:color w:val="000000"/>
                <w:sz w:val="24"/>
                <w:lang w:eastAsia="zh-CN"/>
              </w:rPr>
              <w:t>残疾人教就工作稳步推进。</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任务4：</w:t>
            </w:r>
            <w:r>
              <w:rPr>
                <w:rFonts w:hint="eastAsia" w:ascii="仿宋_GB2312" w:hAnsi="仿宋_GB2312" w:eastAsia="仿宋_GB2312" w:cs="仿宋_GB2312"/>
                <w:color w:val="000000"/>
                <w:sz w:val="24"/>
                <w:lang w:eastAsia="zh-CN"/>
              </w:rPr>
              <w:t>残疾人合法权益得到维护。</w:t>
            </w:r>
          </w:p>
          <w:p>
            <w:pPr>
              <w:autoSpaceDN w:val="0"/>
              <w:spacing w:line="320" w:lineRule="exact"/>
              <w:jc w:val="left"/>
              <w:textAlignment w:val="center"/>
              <w:rPr>
                <w:rFonts w:hint="eastAsia"/>
              </w:rPr>
            </w:pPr>
            <w:r>
              <w:rPr>
                <w:rFonts w:hint="eastAsia" w:ascii="仿宋_GB2312" w:hAnsi="仿宋_GB2312" w:eastAsia="仿宋_GB2312" w:cs="仿宋_GB2312"/>
                <w:color w:val="000000"/>
                <w:sz w:val="24"/>
                <w:lang w:val="en-US" w:eastAsia="zh-CN"/>
              </w:rPr>
              <w:t>任务5：</w:t>
            </w:r>
            <w:r>
              <w:rPr>
                <w:rFonts w:hint="eastAsia" w:ascii="仿宋_GB2312" w:hAnsi="仿宋_GB2312" w:eastAsia="仿宋_GB2312" w:cs="仿宋_GB2312"/>
                <w:color w:val="000000"/>
                <w:sz w:val="24"/>
                <w:lang w:eastAsia="zh-CN"/>
              </w:rPr>
              <w:t>残疾人办证工作有序开展。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pStyle w:val="6"/>
              <w:numPr>
                <w:ilvl w:val="0"/>
                <w:numId w:val="0"/>
              </w:numPr>
              <w:autoSpaceDN w:val="0"/>
              <w:spacing w:line="320" w:lineRule="exact"/>
              <w:ind w:leftChars="0"/>
              <w:textAlignment w:val="center"/>
              <w:rPr>
                <w:rFonts w:hint="eastAsia" w:ascii="仿宋_GB2312" w:hAnsi="仿宋_GB2312" w:eastAsia="仿宋_GB2312" w:cs="仿宋_GB2312"/>
                <w:color w:val="000000"/>
                <w:kern w:val="2"/>
                <w:sz w:val="24"/>
                <w:szCs w:val="24"/>
                <w:lang w:val="en-US" w:eastAsia="zh-CN" w:bidi="ar-SA"/>
              </w:rPr>
            </w:pPr>
          </w:p>
          <w:p>
            <w:pPr>
              <w:pStyle w:val="6"/>
              <w:numPr>
                <w:ilvl w:val="0"/>
                <w:numId w:val="0"/>
              </w:numPr>
              <w:autoSpaceDN w:val="0"/>
              <w:spacing w:line="320" w:lineRule="exact"/>
              <w:ind w:leftChars="0"/>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2020年以来，在区委、区政府的正确领导下，在残疾人脱贫攻坚战中取得了明显的成效。残疾人康复服务扩面提质 ，一是共推荐75名符合救助条件的残疾儿童接受康复训练，免费适配各类辅助300余件,帮助精神残疾人免费住院20人,免费服药50人等；二是认真做好残疾人职业技能培训，组织有培训需求的残疾人免费参加培训2次，人数达100人，并免费提供有机化肥并给予了一定的资金扶持。；三是对全区56户贫困残疾人家庭实施无障碍设施改造，每年为全区330名贫困肢体残疾人发放260元/月的机动轮椅车燃油补贴；四是为全区持证重度残疾人购买了养老保险，3-4级残疾人购买了医疗保险，并为所有持证残疾人购买了21元/人/年的意外伤害保险，保期内为受到意外伤害的残疾人申请落实了理赔金等。</w:t>
            </w:r>
          </w:p>
          <w:p>
            <w:pPr>
              <w:pStyle w:val="6"/>
              <w:numPr>
                <w:ilvl w:val="0"/>
                <w:numId w:val="0"/>
              </w:numPr>
              <w:autoSpaceDN w:val="0"/>
              <w:spacing w:line="320" w:lineRule="exact"/>
              <w:ind w:leftChars="0"/>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654"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26"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26"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451.07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383.87</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67.20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451.07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383.87</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67.20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126"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126"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422.21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89.38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62.60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26.78</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332.82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35.96</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422.21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89.38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62.60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26.78</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332.82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35.96</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118.82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118.82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118.82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118.82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85"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推进残疾人脱贫攻坚</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扩大残疾人康复服务范围</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稳步推进残疾人教就工作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维护</w:t>
            </w:r>
            <w:r>
              <w:rPr>
                <w:rFonts w:hint="eastAsia" w:ascii="仿宋_GB2312" w:hAnsi="仿宋_GB2312" w:eastAsia="仿宋_GB2312" w:cs="仿宋_GB2312"/>
                <w:color w:val="000000"/>
                <w:sz w:val="24"/>
              </w:rPr>
              <w:t>残疾人合法权益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：有序开展残疾人</w:t>
            </w:r>
            <w:r>
              <w:rPr>
                <w:rFonts w:hint="eastAsia" w:ascii="仿宋_GB2312" w:hAnsi="仿宋_GB2312" w:eastAsia="仿宋_GB2312" w:cs="仿宋_GB2312"/>
                <w:color w:val="000000"/>
                <w:sz w:val="24"/>
                <w:lang w:eastAsia="zh-CN"/>
              </w:rPr>
              <w:t>办证工作</w:t>
            </w:r>
          </w:p>
        </w:tc>
        <w:tc>
          <w:tcPr>
            <w:tcW w:w="4585" w:type="dxa"/>
            <w:gridSpan w:val="9"/>
            <w:vAlign w:val="center"/>
          </w:tcPr>
          <w:p>
            <w:pPr>
              <w:pStyle w:val="6"/>
              <w:numPr>
                <w:ilvl w:val="0"/>
                <w:numId w:val="0"/>
              </w:numPr>
              <w:autoSpaceDN w:val="0"/>
              <w:spacing w:line="320" w:lineRule="exact"/>
              <w:ind w:leftChars="0"/>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残疾人脱贫攻坚成效明显</w:t>
            </w:r>
            <w:r>
              <w:rPr>
                <w:rFonts w:hint="eastAsia" w:ascii="仿宋_GB2312" w:hAnsi="仿宋_GB2312" w:eastAsia="仿宋_GB2312" w:cs="仿宋_GB2312"/>
                <w:color w:val="000000"/>
                <w:sz w:val="24"/>
                <w:lang w:eastAsia="zh-CN"/>
              </w:rPr>
              <w:t>。</w:t>
            </w:r>
          </w:p>
          <w:p>
            <w:pPr>
              <w:pStyle w:val="6"/>
              <w:numPr>
                <w:ilvl w:val="0"/>
                <w:numId w:val="0"/>
              </w:numPr>
              <w:autoSpaceDN w:val="0"/>
              <w:spacing w:line="320" w:lineRule="exact"/>
              <w:ind w:leftChars="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残疾人康复服务扩面提质</w:t>
            </w:r>
            <w:r>
              <w:rPr>
                <w:rFonts w:hint="eastAsia" w:ascii="仿宋_GB2312" w:hAnsi="仿宋_GB2312" w:eastAsia="仿宋_GB2312" w:cs="仿宋_GB2312"/>
                <w:color w:val="000000"/>
                <w:sz w:val="24"/>
                <w:lang w:val="en-US" w:eastAsia="zh-CN"/>
              </w:rPr>
              <w:t xml:space="preserve"> ，共推荐75名符合救助条件的残疾儿童接受康复训等</w:t>
            </w:r>
            <w:r>
              <w:rPr>
                <w:rFonts w:hint="eastAsia" w:ascii="仿宋_GB2312" w:hAnsi="仿宋_GB2312" w:eastAsia="仿宋_GB2312" w:cs="仿宋_GB2312"/>
                <w:color w:val="000000"/>
                <w:sz w:val="24"/>
              </w:rPr>
              <w:t>。</w:t>
            </w:r>
          </w:p>
          <w:p>
            <w:pPr>
              <w:pStyle w:val="6"/>
              <w:numPr>
                <w:ilvl w:val="0"/>
                <w:numId w:val="0"/>
              </w:numPr>
              <w:autoSpaceDN w:val="0"/>
              <w:spacing w:line="320" w:lineRule="exact"/>
              <w:ind w:leftChars="0"/>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认真做好残疾人职业技能培训，组织有培训需求的残疾人免费参加培训</w:t>
            </w:r>
            <w:r>
              <w:rPr>
                <w:rFonts w:hint="eastAsia" w:ascii="仿宋_GB2312" w:hAnsi="仿宋_GB2312" w:eastAsia="仿宋_GB2312" w:cs="仿宋_GB2312"/>
                <w:color w:val="000000"/>
                <w:sz w:val="24"/>
                <w:lang w:val="en-US" w:eastAsia="zh-CN"/>
              </w:rPr>
              <w:t>2次</w:t>
            </w:r>
          </w:p>
          <w:p>
            <w:pPr>
              <w:pStyle w:val="6"/>
              <w:numPr>
                <w:ilvl w:val="0"/>
                <w:numId w:val="0"/>
              </w:numPr>
              <w:autoSpaceDN w:val="0"/>
              <w:spacing w:line="320" w:lineRule="exact"/>
              <w:ind w:leftChars="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对全区56户贫困残疾人家庭实施无障碍设施改造</w:t>
            </w:r>
            <w:r>
              <w:rPr>
                <w:rFonts w:hint="eastAsia" w:ascii="仿宋_GB2312" w:hAnsi="仿宋_GB2312" w:eastAsia="仿宋_GB2312" w:cs="仿宋_GB2312"/>
                <w:color w:val="000000"/>
                <w:sz w:val="24"/>
                <w:lang w:val="en-US" w:eastAsia="zh-CN"/>
              </w:rPr>
              <w:t>。</w:t>
            </w:r>
          </w:p>
          <w:p>
            <w:pPr>
              <w:pStyle w:val="6"/>
              <w:numPr>
                <w:ilvl w:val="0"/>
                <w:numId w:val="0"/>
              </w:numPr>
              <w:autoSpaceDN w:val="0"/>
              <w:spacing w:line="320" w:lineRule="exact"/>
              <w:ind w:leftChars="0"/>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5、主动对接卫健局积极开展残疾人办证工作。</w:t>
            </w:r>
            <w:r>
              <w:rPr>
                <w:rFonts w:hint="eastAsia" w:ascii="仿宋_GB2312" w:hAnsi="仿宋_GB2312" w:eastAsia="仿宋_GB2312" w:cs="仿宋_GB2312"/>
                <w:color w:val="000000"/>
                <w:sz w:val="24"/>
                <w:lang w:eastAsia="zh-CN"/>
              </w:rPr>
              <w:t>全年办理残疾证</w:t>
            </w:r>
            <w:r>
              <w:rPr>
                <w:rFonts w:hint="eastAsia" w:ascii="仿宋_GB2312" w:hAnsi="仿宋_GB2312" w:eastAsia="仿宋_GB2312" w:cs="仿宋_GB2312"/>
                <w:color w:val="000000"/>
                <w:sz w:val="24"/>
                <w:lang w:val="en-US" w:eastAsia="zh-CN"/>
              </w:rPr>
              <w:t>740本。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指标1：残疾人获得感、安全感、幸福感增强。</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rPr>
              <w:t>取得了良好的效果</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：帮扶残疾人家庭制定脱贫计划，落实具体措施</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取得了较好的成效。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为残疾人</w:t>
            </w:r>
            <w:r>
              <w:rPr>
                <w:rFonts w:hint="eastAsia" w:ascii="仿宋_GB2312" w:hAnsi="仿宋_GB2312" w:eastAsia="仿宋_GB2312" w:cs="仿宋_GB2312"/>
                <w:color w:val="000000"/>
                <w:sz w:val="24"/>
                <w:lang w:eastAsia="zh-CN"/>
              </w:rPr>
              <w:t>提供技能培训。</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val="en-US" w:eastAsia="zh-CN"/>
              </w:rPr>
              <w:t>培训100余名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2：发放机动轮椅车燃油补贴。</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发放给330名贫困肢体残疾人。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：为全区贫困听障残疾人免费适配助听器、拐杖</w:t>
            </w:r>
            <w:r>
              <w:rPr>
                <w:rFonts w:hint="eastAsia" w:ascii="仿宋_GB2312" w:hAnsi="仿宋_GB2312" w:eastAsia="仿宋_GB2312" w:cs="仿宋_GB2312"/>
                <w:color w:val="000000"/>
                <w:sz w:val="24"/>
                <w:lang w:val="en-US" w:eastAsia="zh-CN"/>
              </w:rPr>
              <w:t>20个</w:t>
            </w:r>
            <w:r>
              <w:rPr>
                <w:rFonts w:hint="eastAsia" w:ascii="仿宋_GB2312" w:hAnsi="仿宋_GB2312" w:eastAsia="仿宋_GB2312" w:cs="仿宋_GB2312"/>
                <w:color w:val="000000"/>
                <w:sz w:val="24"/>
                <w:lang w:eastAsia="zh-CN"/>
              </w:rPr>
              <w:t>、免费安装假肢</w:t>
            </w:r>
            <w:r>
              <w:rPr>
                <w:rFonts w:hint="eastAsia" w:ascii="仿宋_GB2312" w:hAnsi="仿宋_GB2312" w:eastAsia="仿宋_GB2312" w:cs="仿宋_GB2312"/>
                <w:color w:val="000000"/>
                <w:sz w:val="24"/>
                <w:lang w:val="en-US" w:eastAsia="zh-CN"/>
              </w:rPr>
              <w:t>12例</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rPr>
            </w:pPr>
            <w:r>
              <w:rPr>
                <w:rFonts w:hint="eastAsia" w:ascii="仿宋_GB2312" w:hAnsi="仿宋_GB2312" w:eastAsia="仿宋_GB2312" w:cs="仿宋_GB2312"/>
                <w:color w:val="000000"/>
                <w:sz w:val="24"/>
                <w:lang w:eastAsia="zh-CN"/>
              </w:rPr>
              <w:t>适配15个、假肢</w:t>
            </w:r>
            <w:r>
              <w:rPr>
                <w:rFonts w:hint="eastAsia" w:ascii="仿宋_GB2312" w:hAnsi="仿宋_GB2312" w:eastAsia="仿宋_GB2312" w:cs="仿宋_GB2312"/>
                <w:color w:val="000000"/>
                <w:sz w:val="24"/>
                <w:lang w:val="en-US" w:eastAsia="zh-CN"/>
              </w:rPr>
              <w:t>12例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default" w:ascii="仿宋_GB2312" w:hAnsi="仿宋_GB2312" w:eastAsia="宋体" w:cs="仿宋_GB2312"/>
                <w:color w:val="000000"/>
                <w:sz w:val="24"/>
                <w:lang w:val="en-US" w:eastAsia="zh-CN"/>
              </w:rPr>
            </w:pPr>
            <w:r>
              <w:rPr>
                <w:rFonts w:hint="eastAsia" w:ascii="仿宋_GB2312" w:hAnsi="仿宋_GB2312" w:eastAsia="仿宋_GB2312" w:cs="仿宋_GB2312"/>
                <w:color w:val="000000"/>
                <w:sz w:val="24"/>
                <w:lang w:val="en-US" w:eastAsia="zh-CN"/>
              </w:rPr>
              <w:t>指标1：</w:t>
            </w:r>
            <w:r>
              <w:rPr>
                <w:rFonts w:hint="eastAsia" w:ascii="仿宋_GB2312" w:hAnsi="仿宋_GB2312" w:eastAsia="仿宋_GB2312" w:cs="仿宋_GB2312"/>
                <w:color w:val="000000"/>
                <w:sz w:val="24"/>
                <w:lang w:eastAsia="zh-CN"/>
              </w:rPr>
              <w:t>全国助残日及春节等节日慰问</w:t>
            </w:r>
            <w:r>
              <w:rPr>
                <w:rFonts w:hint="eastAsia" w:ascii="仿宋_GB2312" w:hAnsi="仿宋_GB2312" w:eastAsia="仿宋_GB2312" w:cs="仿宋_GB2312"/>
                <w:color w:val="000000"/>
                <w:sz w:val="24"/>
                <w:lang w:val="en-US" w:eastAsia="zh-CN"/>
              </w:rPr>
              <w:t>12月前完成。</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已按时间进度完成。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指标2：专项资金12月份前到位率达100%。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12月前已全部到位。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指标1：项目支出控制在预算范围内。</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实际支付332.82万元。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指标2：部门整体支出控制在预算范围内。</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整体支出422.21万元。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通过对社会特殊群体的帮扶，解决他们的实际困难。</w:t>
            </w:r>
          </w:p>
        </w:tc>
        <w:tc>
          <w:tcPr>
            <w:tcW w:w="2684" w:type="dxa"/>
            <w:gridSpan w:val="6"/>
            <w:vAlign w:val="center"/>
          </w:tcPr>
          <w:p>
            <w:pPr>
              <w:autoSpaceDN w:val="0"/>
              <w:spacing w:line="320" w:lineRule="exact"/>
              <w:jc w:val="left"/>
              <w:textAlignment w:val="center"/>
              <w:rPr>
                <w:rFonts w:hint="eastAsia"/>
              </w:rPr>
            </w:pPr>
            <w:r>
              <w:rPr>
                <w:rFonts w:hint="eastAsia" w:ascii="仿宋_GB2312" w:hAnsi="仿宋_GB2312" w:eastAsia="仿宋_GB2312" w:cs="仿宋_GB2312"/>
                <w:color w:val="000000"/>
                <w:sz w:val="24"/>
                <w:lang w:val="en-US" w:eastAsia="zh-CN"/>
              </w:rPr>
              <w:t>没有无理越级上访、缠访和集体上访现象发生。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eastAsia="zh-CN"/>
              </w:rPr>
              <w:t>：为全区贫困听障残疾人免费适配助听器、假肢</w:t>
            </w:r>
            <w:r>
              <w:rPr>
                <w:rFonts w:hint="eastAsia" w:ascii="仿宋_GB2312" w:hAnsi="仿宋_GB2312" w:eastAsia="仿宋_GB2312" w:cs="仿宋_GB2312"/>
                <w:color w:val="000000"/>
                <w:sz w:val="24"/>
                <w:lang w:val="en-US" w:eastAsia="zh-CN"/>
              </w:rPr>
              <w:t>12例</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rPr>
            </w:pPr>
            <w:r>
              <w:rPr>
                <w:rFonts w:hint="eastAsia" w:ascii="仿宋_GB2312" w:hAnsi="仿宋_GB2312" w:eastAsia="仿宋_GB2312" w:cs="仿宋_GB2312"/>
                <w:color w:val="000000"/>
                <w:sz w:val="24"/>
                <w:lang w:eastAsia="zh-CN"/>
              </w:rPr>
              <w:t>适配15个，假肢</w:t>
            </w:r>
            <w:r>
              <w:rPr>
                <w:rFonts w:hint="eastAsia" w:ascii="仿宋_GB2312" w:hAnsi="仿宋_GB2312" w:eastAsia="仿宋_GB2312" w:cs="仿宋_GB2312"/>
                <w:color w:val="000000"/>
                <w:sz w:val="24"/>
                <w:lang w:val="en-US" w:eastAsia="zh-CN"/>
              </w:rPr>
              <w:t>12例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指标：项目实施过程，按环保、生态要求予以实施。</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已按要求实施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rPr>
              <w:t>残疾人获得感、幸福感、安全感增强，幸福指数高，满意度</w:t>
            </w:r>
            <w:r>
              <w:rPr>
                <w:rFonts w:hint="eastAsia" w:ascii="仿宋_GB2312" w:hAnsi="仿宋_GB2312" w:eastAsia="仿宋_GB2312" w:cs="仿宋_GB2312"/>
                <w:color w:val="000000"/>
                <w:sz w:val="24"/>
                <w:lang w:val="en-US" w:eastAsia="zh-CN"/>
              </w:rPr>
              <w:t>达</w:t>
            </w:r>
            <w:r>
              <w:rPr>
                <w:rFonts w:hint="eastAsia" w:ascii="仿宋_GB2312" w:hAnsi="仿宋_GB2312" w:eastAsia="仿宋_GB2312" w:cs="仿宋_GB2312"/>
                <w:color w:val="000000"/>
                <w:sz w:val="24"/>
              </w:rPr>
              <w:t>95%</w:t>
            </w:r>
            <w:r>
              <w:rPr>
                <w:rFonts w:hint="eastAsia" w:ascii="仿宋_GB2312" w:hAnsi="仿宋_GB2312" w:eastAsia="仿宋_GB2312" w:cs="仿宋_GB2312"/>
                <w:color w:val="000000"/>
                <w:sz w:val="24"/>
                <w:lang w:val="en-US" w:eastAsia="zh-CN"/>
              </w:rPr>
              <w:t>以上。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满意度96%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周勇军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理事长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聂友良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副理事长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  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辅具</w:t>
            </w:r>
            <w:r>
              <w:rPr>
                <w:rFonts w:hint="eastAsia" w:ascii="仿宋_GB2312" w:hAnsi="仿宋_GB2312" w:eastAsia="仿宋_GB2312" w:cs="仿宋_GB2312"/>
                <w:color w:val="000000"/>
                <w:sz w:val="24"/>
                <w:lang w:eastAsia="zh-CN"/>
              </w:rPr>
              <w:t>中心主任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区残联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4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9"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填报人（签名）：刘芳                  联系电话：</w:t>
      </w:r>
      <w:r>
        <w:rPr>
          <w:rFonts w:ascii="??_GB2312" w:hAnsi="??_GB2312" w:eastAsia="Times New Roman"/>
          <w:color w:val="000000"/>
          <w:sz w:val="24"/>
        </w:rPr>
        <w:t>13575032060</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3" w:hRule="atLeast"/>
          <w:jc w:val="center"/>
        </w:trPr>
        <w:tc>
          <w:tcPr>
            <w:tcW w:w="9558" w:type="dxa"/>
            <w:vAlign w:val="top"/>
          </w:tcPr>
          <w:p>
            <w:pPr>
              <w:spacing w:line="620" w:lineRule="exact"/>
              <w:ind w:firstLine="640" w:firstLineChars="200"/>
              <w:jc w:val="center"/>
              <w:rPr>
                <w:rFonts w:hint="eastAsia" w:ascii="黑体" w:hAnsi="仿宋" w:eastAsia="黑体" w:cs="Times New Roman"/>
                <w:sz w:val="32"/>
                <w:szCs w:val="32"/>
              </w:rPr>
            </w:pPr>
            <w:r>
              <w:rPr>
                <w:rFonts w:hint="eastAsia" w:ascii="黑体" w:hAnsi="仿宋" w:eastAsia="黑体" w:cs="Times New Roman"/>
                <w:sz w:val="32"/>
                <w:szCs w:val="32"/>
              </w:rPr>
              <w:t>君山区残疾人联合会</w:t>
            </w:r>
          </w:p>
          <w:p>
            <w:pPr>
              <w:spacing w:line="620" w:lineRule="exact"/>
              <w:ind w:firstLine="640" w:firstLineChars="200"/>
              <w:jc w:val="center"/>
              <w:rPr>
                <w:rFonts w:hint="eastAsia" w:ascii="黑体" w:hAnsi="仿宋" w:eastAsia="黑体" w:cs="Times New Roman"/>
                <w:sz w:val="32"/>
                <w:szCs w:val="32"/>
              </w:rPr>
            </w:pPr>
            <w:r>
              <w:rPr>
                <w:rFonts w:hint="eastAsia" w:ascii="黑体" w:hAnsi="仿宋" w:eastAsia="黑体" w:cs="Times New Roman"/>
                <w:sz w:val="32"/>
                <w:szCs w:val="32"/>
              </w:rPr>
              <w:t>20</w:t>
            </w:r>
            <w:r>
              <w:rPr>
                <w:rFonts w:hint="eastAsia" w:ascii="黑体" w:hAnsi="仿宋" w:eastAsia="黑体" w:cs="Times New Roman"/>
                <w:sz w:val="32"/>
                <w:szCs w:val="32"/>
                <w:lang w:val="en-US" w:eastAsia="zh-CN"/>
              </w:rPr>
              <w:t>20</w:t>
            </w:r>
            <w:r>
              <w:rPr>
                <w:rFonts w:hint="eastAsia" w:ascii="黑体" w:hAnsi="仿宋" w:eastAsia="黑体" w:cs="Times New Roman"/>
                <w:sz w:val="32"/>
                <w:szCs w:val="32"/>
              </w:rPr>
              <w:t>年部门整体支出绩效评价报告</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君山区</w:t>
            </w:r>
            <w:r>
              <w:rPr>
                <w:rFonts w:hint="eastAsia" w:ascii="仿宋_GB2312" w:hAnsi="仿宋_GB2312" w:eastAsia="仿宋_GB2312" w:cs="仿宋_GB2312"/>
                <w:bCs/>
                <w:sz w:val="28"/>
                <w:szCs w:val="28"/>
              </w:rPr>
              <w:t>财政局关于开展20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年度财政支出绩效自评工作的通知》（</w:t>
            </w:r>
            <w:r>
              <w:rPr>
                <w:rFonts w:hint="eastAsia" w:ascii="仿宋_GB2312" w:hAnsi="仿宋_GB2312" w:eastAsia="仿宋_GB2312" w:cs="仿宋_GB2312"/>
                <w:bCs/>
                <w:sz w:val="28"/>
                <w:szCs w:val="28"/>
                <w:lang w:eastAsia="zh-CN"/>
              </w:rPr>
              <w:t>岳君财发</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号）文件精神，为全面推进部门整体绩效目标的实现，提升财政资金的使用效率，强化预算支出的责任和效率，我</w:t>
            </w:r>
            <w:r>
              <w:rPr>
                <w:rFonts w:hint="eastAsia" w:ascii="仿宋_GB2312" w:hAnsi="仿宋_GB2312" w:eastAsia="仿宋_GB2312" w:cs="仿宋_GB2312"/>
                <w:bCs/>
                <w:sz w:val="28"/>
                <w:szCs w:val="28"/>
                <w:lang w:val="en-US" w:eastAsia="zh-CN"/>
              </w:rPr>
              <w:t>单位</w:t>
            </w:r>
            <w:r>
              <w:rPr>
                <w:rFonts w:hint="eastAsia" w:ascii="仿宋_GB2312" w:hAnsi="仿宋_GB2312" w:eastAsia="仿宋_GB2312" w:cs="仿宋_GB2312"/>
                <w:bCs/>
                <w:sz w:val="28"/>
                <w:szCs w:val="28"/>
              </w:rPr>
              <w:t>对20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年部门整体支出开展了绩效自评。现将具体情况报告如下：</w:t>
            </w:r>
          </w:p>
          <w:p>
            <w:pPr>
              <w:spacing w:line="620" w:lineRule="exact"/>
              <w:ind w:firstLine="640" w:firstLineChars="200"/>
              <w:rPr>
                <w:rFonts w:ascii="黑体" w:hAnsi="仿宋" w:eastAsia="黑体"/>
                <w:sz w:val="32"/>
                <w:szCs w:val="32"/>
              </w:rPr>
            </w:pPr>
            <w:r>
              <w:rPr>
                <w:rFonts w:hint="eastAsia" w:ascii="黑体" w:hAnsi="仿宋" w:eastAsia="黑体"/>
                <w:sz w:val="32"/>
                <w:szCs w:val="32"/>
              </w:rPr>
              <w:t>一、部门单位概况</w:t>
            </w:r>
          </w:p>
          <w:p>
            <w:pPr>
              <w:spacing w:line="620" w:lineRule="exact"/>
              <w:ind w:firstLine="640" w:firstLineChars="200"/>
              <w:rPr>
                <w:rFonts w:ascii="楷体_GB2312" w:hAnsi="仿宋" w:eastAsia="楷体_GB2312"/>
                <w:sz w:val="32"/>
                <w:szCs w:val="32"/>
              </w:rPr>
            </w:pPr>
            <w:r>
              <w:rPr>
                <w:rFonts w:hint="eastAsia" w:ascii="楷体_GB2312" w:hAnsi="仿宋" w:eastAsia="楷体_GB2312"/>
                <w:sz w:val="32"/>
                <w:szCs w:val="32"/>
              </w:rPr>
              <w:t>（一）基本情况</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区残联系区财政全额预算拨款单位。</w:t>
            </w:r>
            <w:r>
              <w:rPr>
                <w:rFonts w:hint="eastAsia" w:ascii="仿宋_GB2312" w:hAnsi="宋体" w:eastAsia="仿宋_GB2312" w:cs="宋体"/>
                <w:spacing w:val="10"/>
                <w:sz w:val="28"/>
                <w:szCs w:val="28"/>
                <w:lang w:val="en-US" w:eastAsia="zh-CN"/>
              </w:rPr>
              <w:t>2020</w:t>
            </w:r>
            <w:r>
              <w:rPr>
                <w:rFonts w:hint="eastAsia" w:ascii="仿宋_GB2312" w:hAnsi="宋体" w:eastAsia="仿宋_GB2312" w:cs="宋体"/>
                <w:spacing w:val="10"/>
                <w:sz w:val="28"/>
                <w:szCs w:val="28"/>
              </w:rPr>
              <w:t>年编制部门核实本单位编制</w:t>
            </w:r>
            <w:r>
              <w:rPr>
                <w:rFonts w:hint="eastAsia" w:ascii="仿宋_GB2312" w:hAnsi="宋体" w:eastAsia="仿宋_GB2312" w:cs="宋体"/>
                <w:spacing w:val="10"/>
                <w:sz w:val="28"/>
                <w:szCs w:val="28"/>
                <w:lang w:val="en-US" w:eastAsia="zh-CN"/>
              </w:rPr>
              <w:t>4</w:t>
            </w:r>
            <w:r>
              <w:rPr>
                <w:rFonts w:hint="eastAsia" w:ascii="仿宋_GB2312" w:hAnsi="宋体" w:eastAsia="仿宋_GB2312" w:cs="宋体"/>
                <w:spacing w:val="10"/>
                <w:sz w:val="28"/>
                <w:szCs w:val="28"/>
              </w:rPr>
              <w:t>人，实有人数为</w:t>
            </w:r>
            <w:r>
              <w:rPr>
                <w:rFonts w:hint="eastAsia" w:ascii="仿宋_GB2312" w:hAnsi="宋体" w:eastAsia="仿宋_GB2312" w:cs="宋体"/>
                <w:spacing w:val="10"/>
                <w:sz w:val="28"/>
                <w:szCs w:val="28"/>
                <w:lang w:val="en-US" w:eastAsia="zh-CN"/>
              </w:rPr>
              <w:t>8</w:t>
            </w:r>
            <w:r>
              <w:rPr>
                <w:rFonts w:hint="eastAsia" w:ascii="仿宋_GB2312" w:hAnsi="宋体" w:eastAsia="仿宋_GB2312" w:cs="宋体"/>
                <w:spacing w:val="10"/>
                <w:sz w:val="28"/>
                <w:szCs w:val="28"/>
              </w:rPr>
              <w:t>人。其中机关行政编制2人，事业编制</w:t>
            </w:r>
            <w:r>
              <w:rPr>
                <w:rFonts w:hint="eastAsia" w:ascii="仿宋_GB2312" w:hAnsi="宋体" w:eastAsia="仿宋_GB2312" w:cs="宋体"/>
                <w:spacing w:val="10"/>
                <w:sz w:val="28"/>
                <w:szCs w:val="28"/>
                <w:lang w:val="en-US" w:eastAsia="zh-CN"/>
              </w:rPr>
              <w:t>2</w:t>
            </w:r>
            <w:r>
              <w:rPr>
                <w:rFonts w:hint="eastAsia" w:ascii="仿宋_GB2312" w:hAnsi="宋体" w:eastAsia="仿宋_GB2312" w:cs="宋体"/>
                <w:spacing w:val="10"/>
                <w:sz w:val="28"/>
                <w:szCs w:val="28"/>
              </w:rPr>
              <w:t>人</w:t>
            </w:r>
            <w:r>
              <w:rPr>
                <w:rFonts w:hint="eastAsia" w:ascii="仿宋_GB2312" w:hAnsi="宋体" w:eastAsia="仿宋_GB2312" w:cs="宋体"/>
                <w:spacing w:val="10"/>
                <w:sz w:val="28"/>
                <w:szCs w:val="28"/>
                <w:lang w:val="en-US" w:eastAsia="zh-CN"/>
              </w:rPr>
              <w:t>(空编１人)</w:t>
            </w:r>
            <w:r>
              <w:rPr>
                <w:rFonts w:hint="eastAsia" w:ascii="仿宋_GB2312" w:hAnsi="宋体" w:eastAsia="仿宋_GB2312" w:cs="宋体"/>
                <w:spacing w:val="10"/>
                <w:sz w:val="28"/>
                <w:szCs w:val="28"/>
              </w:rPr>
              <w:t>，2人改非，劳务派遣人员</w:t>
            </w:r>
            <w:r>
              <w:rPr>
                <w:rFonts w:hint="eastAsia" w:ascii="仿宋_GB2312" w:hAnsi="宋体" w:eastAsia="仿宋_GB2312" w:cs="宋体"/>
                <w:spacing w:val="10"/>
                <w:sz w:val="28"/>
                <w:szCs w:val="28"/>
                <w:lang w:val="en-US" w:eastAsia="zh-CN"/>
              </w:rPr>
              <w:t>3</w:t>
            </w:r>
            <w:r>
              <w:rPr>
                <w:rFonts w:hint="eastAsia" w:ascii="仿宋_GB2312" w:hAnsi="宋体" w:eastAsia="仿宋_GB2312" w:cs="宋体"/>
                <w:spacing w:val="10"/>
                <w:sz w:val="28"/>
                <w:szCs w:val="28"/>
              </w:rPr>
              <w:t>人。单位内设综合性办公室1个。纳入预算编制范围二级预算单位1个（辅助器具服务站）。</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主要职能；</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1、团结教育残疾人遵守法律法规，履行应尽的义务，发扬乐观进取精神，自尊、自信、自强、自立，为社会主义建设贡献力量。</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2、弘扬人道主义，宣传残疾人事业，沟通政府、社会与残疾人之间的联系，动员社会理解、尊重、关心、帮助残疾人。</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3、协助区委、区政府研究、制定和实施残疾人事业的政策、规划和计划；调查掌握残疾人事业状况，向区政府提出决策建议，对有关业务领域进行指导和管理。</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4、指导开展残疾人康复、扶贫、教育、劳动就业、文化、体育、科研、用品用具供应、福利、社会服务、无障碍设施和残疾预防工作，创造良好的社会环境和条件，扶助残疾人平等地参与社会生活。</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5、承担区政府残疾人工作委员会的日常工作，做好综合、组织、协调和服务工作，指导和管理各类残疾人社团组织，统筹开展残疾人事业募捐活动和对外交流工作，组织实施残疾人分散按比例安排就业工作。</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6、承办区委、区政府交办的其他事项。</w:t>
            </w:r>
          </w:p>
          <w:p>
            <w:pPr>
              <w:spacing w:line="620"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rPr>
              <w:t>（二）整体支出规模、使用方向和主要内容、涉及范围</w:t>
            </w:r>
          </w:p>
          <w:p>
            <w:pPr>
              <w:spacing w:line="620" w:lineRule="exact"/>
              <w:ind w:firstLine="560" w:firstLineChars="200"/>
              <w:rPr>
                <w:rFonts w:hint="eastAsia"/>
              </w:rPr>
            </w:pPr>
            <w:r>
              <w:rPr>
                <w:rFonts w:hint="eastAsia" w:ascii="仿宋_GB2312" w:hAnsi="仿宋_GB2312" w:eastAsia="仿宋_GB2312" w:cs="仿宋_GB2312"/>
                <w:bCs/>
                <w:sz w:val="28"/>
                <w:szCs w:val="28"/>
                <w:lang w:val="en-US" w:eastAsia="zh-CN"/>
              </w:rPr>
              <w:t>2020年本单位整体支出</w:t>
            </w:r>
            <w:r>
              <w:rPr>
                <w:rFonts w:hint="eastAsia" w:ascii="仿宋_GB2312" w:hAnsi="宋体" w:eastAsia="仿宋_GB2312" w:cs="宋体"/>
                <w:spacing w:val="10"/>
                <w:sz w:val="28"/>
                <w:szCs w:val="28"/>
                <w:lang w:val="en-US" w:eastAsia="zh-CN"/>
              </w:rPr>
              <w:t>422.21</w:t>
            </w:r>
            <w:r>
              <w:rPr>
                <w:rFonts w:hint="eastAsia" w:ascii="仿宋_GB2312" w:hAnsi="仿宋_GB2312" w:eastAsia="仿宋_GB2312" w:cs="仿宋_GB2312"/>
                <w:bCs/>
                <w:sz w:val="28"/>
                <w:szCs w:val="28"/>
                <w:lang w:val="en-US" w:eastAsia="zh-CN"/>
              </w:rPr>
              <w:t>万元，其中基本支出</w:t>
            </w:r>
            <w:r>
              <w:rPr>
                <w:rFonts w:hint="eastAsia" w:ascii="仿宋_GB2312" w:hAnsi="宋体" w:eastAsia="仿宋_GB2312" w:cs="宋体"/>
                <w:spacing w:val="10"/>
                <w:sz w:val="28"/>
                <w:szCs w:val="28"/>
                <w:lang w:val="en-US" w:eastAsia="zh-CN"/>
              </w:rPr>
              <w:t>89.38</w:t>
            </w:r>
            <w:r>
              <w:rPr>
                <w:rFonts w:hint="eastAsia" w:ascii="仿宋_GB2312" w:hAnsi="仿宋_GB2312" w:eastAsia="仿宋_GB2312" w:cs="仿宋_GB2312"/>
                <w:bCs/>
                <w:sz w:val="28"/>
                <w:szCs w:val="28"/>
                <w:lang w:val="en-US" w:eastAsia="zh-CN"/>
              </w:rPr>
              <w:t>万元，占总支出的21.17%，基本支出中人员支出为62.60万元，公用经费支出26.78万元；项目支出</w:t>
            </w:r>
            <w:r>
              <w:rPr>
                <w:rFonts w:hint="eastAsia" w:ascii="仿宋_GB2312" w:hAnsi="宋体" w:eastAsia="仿宋_GB2312" w:cs="宋体"/>
                <w:spacing w:val="10"/>
                <w:sz w:val="28"/>
                <w:szCs w:val="28"/>
                <w:lang w:val="en-US" w:eastAsia="zh-CN"/>
              </w:rPr>
              <w:t>332.82</w:t>
            </w:r>
            <w:r>
              <w:rPr>
                <w:rFonts w:hint="eastAsia" w:ascii="仿宋_GB2312" w:hAnsi="仿宋_GB2312" w:eastAsia="仿宋_GB2312" w:cs="仿宋_GB2312"/>
                <w:bCs/>
                <w:sz w:val="28"/>
                <w:szCs w:val="28"/>
                <w:lang w:val="en-US" w:eastAsia="zh-CN"/>
              </w:rPr>
              <w:t>万元，占总支出的78.83%。</w:t>
            </w:r>
          </w:p>
          <w:p>
            <w:pPr>
              <w:spacing w:line="620" w:lineRule="exact"/>
              <w:ind w:firstLine="640" w:firstLineChars="200"/>
              <w:rPr>
                <w:rFonts w:ascii="楷体_GB2312" w:hAnsi="楷体_GB2312" w:eastAsia="楷体_GB2312" w:cs="楷体_GB2312"/>
                <w:b/>
                <w:sz w:val="32"/>
                <w:szCs w:val="32"/>
              </w:rPr>
            </w:pPr>
            <w:r>
              <w:rPr>
                <w:rFonts w:hint="eastAsia" w:ascii="黑体" w:hAnsi="仿宋" w:eastAsia="黑体"/>
                <w:sz w:val="32"/>
                <w:szCs w:val="32"/>
              </w:rPr>
              <w:t>二、部门（单位）整体支出管理及使用情况</w:t>
            </w:r>
          </w:p>
          <w:p>
            <w:pPr>
              <w:adjustRightInd w:val="0"/>
              <w:snapToGrid w:val="0"/>
              <w:spacing w:line="620" w:lineRule="exact"/>
              <w:ind w:firstLine="640" w:firstLineChars="200"/>
              <w:rPr>
                <w:rFonts w:hint="eastAsia" w:eastAsia="仿宋_GB2312"/>
                <w:bCs/>
                <w:sz w:val="32"/>
                <w:szCs w:val="32"/>
              </w:rPr>
            </w:pPr>
            <w:r>
              <w:rPr>
                <w:rFonts w:eastAsia="仿宋_GB2312"/>
                <w:bCs/>
                <w:sz w:val="32"/>
                <w:szCs w:val="32"/>
              </w:rPr>
              <w:t>（一）</w:t>
            </w:r>
            <w:r>
              <w:rPr>
                <w:rFonts w:hint="eastAsia" w:eastAsia="仿宋_GB2312"/>
                <w:bCs/>
                <w:sz w:val="32"/>
                <w:szCs w:val="32"/>
              </w:rPr>
              <w:t>基本支出</w:t>
            </w:r>
          </w:p>
          <w:p>
            <w:pPr>
              <w:spacing w:line="560" w:lineRule="exact"/>
              <w:ind w:firstLine="560" w:firstLine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用于为保障机构正常运转、完成日常工作任务而发生的支出，包括人员经费和公用经费。2020年基本支出89.38万元，其中：工资福利支出62.60万元，占基本支出的70.04%；商品和服务支出25.25万元，占基本支出的28.25%；对个人和家庭的补助支出0万元；资本性支出1.53万元，占基本支出的1.71%。</w:t>
            </w:r>
          </w:p>
          <w:p>
            <w:pPr>
              <w:spacing w:line="560" w:lineRule="exact"/>
              <w:ind w:firstLine="560" w:firstLineChars="200"/>
              <w:jc w:val="left"/>
            </w:pPr>
            <w:r>
              <w:rPr>
                <w:rFonts w:hint="eastAsia" w:ascii="仿宋_GB2312" w:hAnsi="仿宋_GB2312" w:eastAsia="仿宋_GB2312" w:cs="仿宋_GB2312"/>
                <w:bCs/>
                <w:sz w:val="28"/>
                <w:szCs w:val="28"/>
                <w:lang w:val="en-US" w:eastAsia="zh-CN"/>
              </w:rPr>
              <w:t>2020年三公经费支出3.19万元，财政下达控制数为3.24万元，完成财政下达控制数的98.46%，其中：因公出国（境）费0万元，公务车购置及运行维护费0万元，公务接待费3.19万元，使用当年财政拨款支出3.19万元。</w:t>
            </w:r>
          </w:p>
          <w:p>
            <w:pPr>
              <w:numPr>
                <w:ilvl w:val="0"/>
                <w:numId w:val="1"/>
              </w:numPr>
              <w:adjustRightInd w:val="0"/>
              <w:snapToGrid w:val="0"/>
              <w:spacing w:line="620" w:lineRule="exact"/>
              <w:ind w:firstLine="640" w:firstLineChars="200"/>
              <w:rPr>
                <w:rFonts w:hint="eastAsia" w:eastAsia="仿宋_GB2312"/>
                <w:bCs/>
                <w:sz w:val="32"/>
                <w:szCs w:val="32"/>
              </w:rPr>
            </w:pPr>
            <w:r>
              <w:rPr>
                <w:rFonts w:hint="eastAsia" w:eastAsia="仿宋_GB2312"/>
                <w:bCs/>
                <w:sz w:val="32"/>
                <w:szCs w:val="32"/>
              </w:rPr>
              <w:t>、专项支出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项目支出是在基本支出之外为完成其特定工作任务而发生的支出，主要用于残疾人就业保障金、残疾人创业扶持资金和残疾人康复工作专项支出。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1、专项资金安排落实、总投入等情况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2020年我单位专项资金年初结余7.10万元，本年财政拨款361.69万元，全部为本级财政安排，项目支出共发生支出332.82万元，结余35.96万元。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2、专项资金实际使用情况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本级财政安排专项资金368.79万元（含年初结余），项目支出共发生支出332.82万元，一是用于残疾人就业保障工作168.10万元；二是扶持残疾人创业工作96.57万元；三是用于残疾人康复工作68.15万元。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3、专项资金管理情况</w:t>
            </w:r>
          </w:p>
          <w:p>
            <w:pPr>
              <w:spacing w:line="560" w:lineRule="exact"/>
              <w:ind w:firstLine="560" w:firstLineChars="200"/>
            </w:pPr>
            <w:r>
              <w:rPr>
                <w:rFonts w:hint="eastAsia" w:ascii="仿宋_GB2312" w:hAnsi="仿宋_GB2312" w:eastAsia="仿宋_GB2312" w:cs="仿宋_GB2312"/>
                <w:bCs/>
                <w:sz w:val="28"/>
                <w:szCs w:val="28"/>
                <w:lang w:val="en-US" w:eastAsia="zh-CN"/>
              </w:rPr>
              <w:t>我单位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adjustRightInd w:val="0"/>
              <w:snapToGrid w:val="0"/>
              <w:spacing w:line="620" w:lineRule="exact"/>
              <w:ind w:firstLine="640" w:firstLineChars="200"/>
              <w:rPr>
                <w:rFonts w:ascii="黑体" w:hAnsi="仿宋" w:eastAsia="黑体"/>
                <w:sz w:val="32"/>
                <w:szCs w:val="32"/>
              </w:rPr>
            </w:pPr>
            <w:r>
              <w:rPr>
                <w:rFonts w:hint="eastAsia" w:ascii="黑体" w:hAnsi="仿宋" w:eastAsia="黑体"/>
                <w:sz w:val="32"/>
                <w:szCs w:val="32"/>
              </w:rPr>
              <w:t>三、部门专项组织实施情况</w:t>
            </w:r>
          </w:p>
          <w:p>
            <w:pPr>
              <w:spacing w:line="580" w:lineRule="exact"/>
              <w:ind w:firstLine="640" w:firstLineChars="200"/>
              <w:rPr>
                <w:rFonts w:eastAsia="仿宋_GB2312"/>
                <w:bCs/>
                <w:sz w:val="32"/>
                <w:szCs w:val="32"/>
              </w:rPr>
            </w:pPr>
            <w:r>
              <w:rPr>
                <w:rFonts w:eastAsia="仿宋_GB2312"/>
                <w:bCs/>
                <w:sz w:val="32"/>
                <w:szCs w:val="32"/>
              </w:rPr>
              <w:t>（一）</w:t>
            </w:r>
            <w:r>
              <w:rPr>
                <w:rFonts w:hint="eastAsia" w:eastAsia="仿宋_GB2312"/>
                <w:bCs/>
                <w:sz w:val="32"/>
                <w:szCs w:val="32"/>
              </w:rPr>
              <w:t>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项目采取以项目实施单位为主体，严格按照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spacing w:line="580" w:lineRule="exact"/>
              <w:ind w:firstLine="640" w:firstLineChars="200"/>
              <w:rPr>
                <w:rFonts w:eastAsia="仿宋_GB2312"/>
                <w:bCs/>
                <w:sz w:val="32"/>
                <w:szCs w:val="32"/>
              </w:rPr>
            </w:pPr>
            <w:r>
              <w:rPr>
                <w:rFonts w:eastAsia="仿宋_GB2312"/>
                <w:bCs/>
                <w:sz w:val="32"/>
                <w:szCs w:val="32"/>
              </w:rPr>
              <w:t>（二）</w:t>
            </w:r>
            <w:r>
              <w:rPr>
                <w:rFonts w:hint="eastAsia" w:eastAsia="仿宋_GB2312"/>
                <w:bCs/>
                <w:sz w:val="32"/>
                <w:szCs w:val="32"/>
              </w:rPr>
              <w:t>专项管理情况分析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按照项目资金管理制度要求，对项目实施和资金使用分配方案坚持残联理事会集体决策。对各项目制订工作方案，明确完成的具体时间，开展项目规划设计、部署工作，认真落实建设任务。</w:t>
            </w:r>
          </w:p>
          <w:p>
            <w:pPr>
              <w:numPr>
                <w:ilvl w:val="0"/>
                <w:numId w:val="2"/>
              </w:numPr>
              <w:adjustRightInd w:val="0"/>
              <w:snapToGrid w:val="0"/>
              <w:spacing w:line="620" w:lineRule="exact"/>
              <w:ind w:firstLine="640" w:firstLineChars="200"/>
              <w:rPr>
                <w:rFonts w:hint="eastAsia" w:ascii="黑体" w:hAnsi="仿宋" w:eastAsia="黑体"/>
                <w:sz w:val="32"/>
                <w:szCs w:val="32"/>
              </w:rPr>
            </w:pPr>
            <w:r>
              <w:rPr>
                <w:rFonts w:hint="eastAsia" w:ascii="黑体" w:hAnsi="仿宋" w:eastAsia="黑体"/>
                <w:sz w:val="32"/>
                <w:szCs w:val="32"/>
              </w:rPr>
              <w:t>整体支出绩效情况分析</w:t>
            </w:r>
          </w:p>
          <w:p>
            <w:pPr>
              <w:pStyle w:val="2"/>
              <w:jc w:val="left"/>
            </w:pPr>
            <w:r>
              <w:rPr>
                <w:rFonts w:hint="eastAsia" w:ascii="仿宋_GB2312" w:hAnsi="仿宋_GB2312" w:eastAsia="仿宋_GB2312" w:cs="仿宋_GB2312"/>
                <w:bCs/>
                <w:kern w:val="2"/>
                <w:sz w:val="28"/>
                <w:szCs w:val="28"/>
                <w:lang w:val="en-US" w:eastAsia="zh-CN" w:bidi="ar-SA"/>
              </w:rPr>
              <w:t>2020年以来，在区委、区政府的正确领导下，区残联坚持以习近平新时代中国特色社会主义思想为指导，全面贯彻落实党的十九大精神，在残疾人脱贫攻坚战中取得了明显的成效。一是区政府每年为16-60周岁的重度残疾人按政策要求统一代缴城镇居民医疗保险和城乡居民养老保险。二是为41名残疾大学生及贫困残疾人家庭大学生发放资助金12.9万元，为21名残疾人高中生及贫困残疾人家庭高中生发放资助金4.32万元。三是会同民政局做好残疾人“两项补贴”打卡发放工作。目前，全区贫困残疾人已如期实现脱贫。扩大残疾人康复服务的范围并提升其质量：一是共推荐75名符合救助条件的残疾儿童分别在省博爱、市爱弥儿、市妇幼、市惠声等机构接受康复训练。二是通过多方征求意见建议，经区政府研究，先后出台了《君山区残疾人证管理办法实施细则》《君山区残疾儿童康复救助制度实施细则》，并将相关资金纳入了区财政预算。三是充分发挥区辅助器具站作用，免费适配各类辅助器具300余件。四是帮助精神残疾人免费住院20人，免费服药救助50人。五是为全区贫困听障残疾人免费适配助听器15台、为贫困肢体残疾人免费安装假肢12例。六是建设运营钱粮湖、良心堡、广兴洲3个残疾人社区康复站。七是扎实开展残疾人基本服务状况和需求信息数据动态更新工作，确保了每年入户调查率达100%，手机采集率达100%。稳步推进残疾人教就工作：一是为我区100余名残疾人提供技能培训2场次，并免费为40名残疾人提供有机化肥，帮助残疾人增产增收。二是对7名残疾人创业者开展创业培训，为他们进一步扩大规模、提升竞争力打下了基础，并给予了一定的资金扶持。三是实施政府购买服务，为全区50名残疾人提供保洁、理发、家电维修等居家服务。维护残疾人合法权益：一是对全区56户贫困残疾人家庭实施无障碍设施改造。二是每年为全区330名贫困肢体残疾人发放260元/月的机动轮椅车燃油补贴。三是为全区持证残疾人购买了21元/人/年的意外伤害保险，保期内为受到意外伤害的残疾人申请落实了理赔金。四是严格落实《信访工作制度》，没有无理越级上访、缠访和集体上访现象发生。</w:t>
            </w:r>
            <w:r>
              <w:rPr>
                <w:rFonts w:hint="eastAsia" w:ascii="仿宋_GB2312" w:hAnsi="仿宋_GB2312" w:eastAsia="仿宋_GB2312" w:cs="仿宋_GB2312"/>
                <w:b w:val="0"/>
                <w:bCs/>
                <w:kern w:val="2"/>
                <w:sz w:val="28"/>
                <w:szCs w:val="28"/>
                <w:lang w:val="en-US" w:eastAsia="zh-CN" w:bidi="ar-SA"/>
              </w:rPr>
              <w:t>有序开展</w:t>
            </w:r>
            <w:r>
              <w:rPr>
                <w:rFonts w:hint="eastAsia" w:ascii="仿宋_GB2312" w:hAnsi="仿宋_GB2312" w:eastAsia="仿宋_GB2312" w:cs="仿宋_GB2312"/>
                <w:bCs/>
                <w:kern w:val="2"/>
                <w:sz w:val="28"/>
                <w:szCs w:val="28"/>
                <w:lang w:val="en-US" w:eastAsia="zh-CN" w:bidi="ar-SA"/>
              </w:rPr>
              <w:t>残疾人办证工作</w:t>
            </w:r>
            <w:r>
              <w:rPr>
                <w:rFonts w:hint="eastAsia" w:ascii="仿宋_GB2312" w:hAnsi="仿宋_GB2312" w:eastAsia="仿宋_GB2312" w:cs="仿宋_GB2312"/>
                <w:b w:val="0"/>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主动对接卫健局积极开展残疾人办证工作。彻底摸排贫困残疾人未办证人员，积极组织疑似残疾人集中来残联办证，对于瘫痪在床不能动的和精神、智力残疾严重不受控制的人员，区残联主动与市康复医院和区人民医院对接，配合医生上户鉴定办证，今年共办理残疾证740本。</w:t>
            </w:r>
          </w:p>
          <w:p>
            <w:pPr>
              <w:adjustRightInd w:val="0"/>
              <w:snapToGrid w:val="0"/>
              <w:spacing w:line="620" w:lineRule="exact"/>
              <w:ind w:firstLine="640" w:firstLineChars="200"/>
              <w:rPr>
                <w:rFonts w:ascii="黑体" w:hAnsi="仿宋" w:eastAsia="黑体"/>
                <w:sz w:val="32"/>
                <w:szCs w:val="32"/>
              </w:rPr>
            </w:pPr>
            <w:r>
              <w:rPr>
                <w:rFonts w:hint="eastAsia" w:ascii="黑体" w:hAnsi="仿宋" w:eastAsia="黑体"/>
                <w:sz w:val="32"/>
                <w:szCs w:val="32"/>
              </w:rPr>
              <w:t>五、存在的主要问题</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（一）编制少，人员紧缺，面对全区残疾人较多，为残疾人服务工作的工作量相当大，一个人要承担几个人的工作，有的工作只能滞后，有的工作甚至无法开展。</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（二）残疾人基层组织、基础设施、基层管理仍然需要加强。残疾人综合素质及技能水平亟待提高。</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（三）对残疾人工作宣传力度不够，社会助残意识还有待进一步提高。</w:t>
            </w:r>
          </w:p>
          <w:p>
            <w:pPr>
              <w:spacing w:line="620" w:lineRule="exact"/>
              <w:ind w:firstLine="640" w:firstLineChars="200"/>
              <w:rPr>
                <w:rFonts w:ascii="黑体" w:hAnsi="仿宋" w:eastAsia="黑体"/>
                <w:sz w:val="32"/>
                <w:szCs w:val="32"/>
              </w:rPr>
            </w:pPr>
            <w:r>
              <w:rPr>
                <w:rFonts w:hint="eastAsia" w:ascii="黑体" w:hAnsi="仿宋" w:eastAsia="黑体"/>
                <w:sz w:val="32"/>
                <w:szCs w:val="32"/>
              </w:rPr>
              <w:t>六、改进措施和有关建议</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（一）建议各乡镇及相关部门加大对乡镇残疾人</w:t>
            </w:r>
            <w:r>
              <w:rPr>
                <w:rFonts w:hint="eastAsia" w:ascii="仿宋_GB2312" w:hAnsi="宋体" w:eastAsia="仿宋_GB2312" w:cs="宋体"/>
                <w:spacing w:val="10"/>
                <w:sz w:val="28"/>
                <w:szCs w:val="28"/>
                <w:lang w:eastAsia="zh-CN"/>
              </w:rPr>
              <w:t>工作</w:t>
            </w:r>
            <w:r>
              <w:rPr>
                <w:rFonts w:hint="eastAsia" w:ascii="仿宋_GB2312" w:hAnsi="宋体" w:eastAsia="仿宋_GB2312" w:cs="宋体"/>
                <w:spacing w:val="10"/>
                <w:sz w:val="28"/>
                <w:szCs w:val="28"/>
              </w:rPr>
              <w:t>宣传力度，提高社会助残意识。</w:t>
            </w:r>
          </w:p>
          <w:p>
            <w:pPr>
              <w:tabs>
                <w:tab w:val="center" w:pos="4153"/>
              </w:tabs>
              <w:spacing w:line="540" w:lineRule="exact"/>
              <w:ind w:firstLine="630"/>
              <w:jc w:val="left"/>
              <w:rPr>
                <w:rFonts w:hint="eastAsia" w:ascii="仿宋_GB2312" w:hAnsi="宋体" w:eastAsia="仿宋_GB2312" w:cs="宋体"/>
                <w:spacing w:val="10"/>
                <w:sz w:val="28"/>
                <w:szCs w:val="28"/>
              </w:rPr>
            </w:pPr>
            <w:r>
              <w:rPr>
                <w:rFonts w:hint="eastAsia" w:ascii="仿宋_GB2312" w:hAnsi="宋体" w:eastAsia="仿宋_GB2312" w:cs="宋体"/>
                <w:spacing w:val="10"/>
                <w:sz w:val="28"/>
                <w:szCs w:val="28"/>
              </w:rPr>
              <w:t>（二）残疾人联合会加大对各乡镇残疾人</w:t>
            </w:r>
            <w:r>
              <w:rPr>
                <w:rFonts w:hint="eastAsia" w:ascii="仿宋_GB2312" w:hAnsi="宋体" w:eastAsia="仿宋_GB2312" w:cs="宋体"/>
                <w:spacing w:val="10"/>
                <w:sz w:val="28"/>
                <w:szCs w:val="28"/>
                <w:lang w:eastAsia="zh-CN"/>
              </w:rPr>
              <w:t>工作</w:t>
            </w:r>
            <w:r>
              <w:rPr>
                <w:rFonts w:hint="eastAsia" w:ascii="仿宋_GB2312" w:hAnsi="宋体" w:eastAsia="仿宋_GB2312" w:cs="宋体"/>
                <w:spacing w:val="10"/>
                <w:sz w:val="28"/>
                <w:szCs w:val="28"/>
              </w:rPr>
              <w:t>的监管，根据工</w:t>
            </w:r>
            <w:r>
              <w:rPr>
                <w:rFonts w:hint="eastAsia" w:ascii="仿宋" w:hAnsi="仿宋" w:eastAsia="仿宋"/>
                <w:sz w:val="32"/>
                <w:szCs w:val="32"/>
              </w:rPr>
              <w:t>作需</w:t>
            </w:r>
            <w:r>
              <w:rPr>
                <w:rFonts w:hint="eastAsia" w:ascii="仿宋_GB2312" w:hAnsi="宋体" w:eastAsia="仿宋_GB2312" w:cs="宋体"/>
                <w:spacing w:val="10"/>
                <w:sz w:val="28"/>
                <w:szCs w:val="28"/>
              </w:rPr>
              <w:t>要</w:t>
            </w:r>
            <w:r>
              <w:rPr>
                <w:rFonts w:hint="eastAsia" w:ascii="仿宋_GB2312" w:hAnsi="宋体" w:eastAsia="仿宋_GB2312" w:cs="宋体"/>
                <w:spacing w:val="10"/>
                <w:sz w:val="28"/>
                <w:szCs w:val="28"/>
                <w:lang w:val="en-US" w:eastAsia="zh-CN"/>
              </w:rPr>
              <w:t>组织全面性的专项检查工作</w:t>
            </w:r>
            <w:r>
              <w:rPr>
                <w:rFonts w:hint="eastAsia" w:ascii="仿宋_GB2312" w:hAnsi="宋体" w:eastAsia="仿宋_GB2312" w:cs="宋体"/>
                <w:spacing w:val="10"/>
                <w:sz w:val="28"/>
                <w:szCs w:val="28"/>
              </w:rPr>
              <w:t>，</w:t>
            </w:r>
            <w:r>
              <w:rPr>
                <w:rFonts w:hint="eastAsia" w:ascii="仿宋_GB2312" w:hAnsi="宋体" w:eastAsia="仿宋_GB2312" w:cs="宋体"/>
                <w:spacing w:val="10"/>
                <w:sz w:val="28"/>
                <w:szCs w:val="28"/>
                <w:lang w:val="en-US" w:eastAsia="zh-CN"/>
              </w:rPr>
              <w:t>保证各项政策顺利落实</w:t>
            </w:r>
            <w:r>
              <w:rPr>
                <w:rFonts w:hint="eastAsia" w:ascii="仿宋_GB2312" w:hAnsi="宋体" w:eastAsia="仿宋_GB2312" w:cs="宋体"/>
                <w:spacing w:val="10"/>
                <w:sz w:val="28"/>
                <w:szCs w:val="28"/>
              </w:rPr>
              <w:t>。</w:t>
            </w:r>
          </w:p>
          <w:p>
            <w:pPr>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rPr>
                <w:rFonts w:eastAsia="楷体_GB2312"/>
                <w:bCs/>
                <w:sz w:val="28"/>
                <w:szCs w:val="28"/>
              </w:rPr>
            </w:pPr>
          </w:p>
        </w:tc>
      </w:tr>
    </w:tbl>
    <w:p>
      <w:pPr>
        <w:rPr>
          <w:rFonts w:hint="eastAsia" w:ascii="黑体" w:hAnsi="黑体" w:eastAsia="黑体"/>
          <w:sz w:val="32"/>
          <w:szCs w:val="32"/>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9987" w:type="dxa"/>
        <w:jc w:val="center"/>
        <w:tblLayout w:type="fixed"/>
        <w:tblCellMar>
          <w:top w:w="0" w:type="dxa"/>
          <w:left w:w="108" w:type="dxa"/>
          <w:bottom w:w="0" w:type="dxa"/>
          <w:right w:w="108" w:type="dxa"/>
        </w:tblCellMar>
      </w:tblPr>
      <w:tblGrid>
        <w:gridCol w:w="976"/>
        <w:gridCol w:w="939"/>
        <w:gridCol w:w="1389"/>
        <w:gridCol w:w="4171"/>
        <w:gridCol w:w="619"/>
        <w:gridCol w:w="720"/>
        <w:gridCol w:w="1173"/>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17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173"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人员超编</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73"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173"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17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决算与年初预算批复存在差异。</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1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1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spacing w:before="312" w:beforeLines="100" w:after="312" w:afterLines="100"/>
        <w:jc w:val="center"/>
        <w:rPr>
          <w:rFonts w:hint="eastAsia" w:ascii="方正小标宋简体" w:eastAsia="方正小标宋简体"/>
          <w:sz w:val="36"/>
          <w:szCs w:val="36"/>
        </w:rPr>
      </w:pPr>
    </w:p>
    <w:p>
      <w:pPr>
        <w:spacing w:before="312" w:beforeLines="100" w:after="312" w:afterLines="100"/>
        <w:jc w:val="cente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val="en-US" w:eastAsia="zh-CN"/>
        </w:rPr>
        <w:t>续</w:t>
      </w:r>
      <w:r>
        <w:rPr>
          <w:rFonts w:hint="eastAsia" w:ascii="方正小标宋简体" w:eastAsia="方正小标宋简体"/>
          <w:sz w:val="36"/>
          <w:szCs w:val="36"/>
        </w:rPr>
        <w:t>）</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rPr>
                              <w:rFonts w:hint="eastAsia"/>
                              <w:lang w:eastAsia="zh-CN"/>
                            </w:rPr>
                            <w:t xml:space="preserve">— </w:t>
                          </w:r>
                          <w:r>
                            <w:fldChar w:fldCharType="begin"/>
                          </w:r>
                          <w:r>
                            <w:instrText xml:space="preserve">PAGE  </w:instrText>
                          </w:r>
                          <w:r>
                            <w:fldChar w:fldCharType="separate"/>
                          </w:r>
                          <w:r>
                            <w:rPr>
                              <w:sz w:val="24"/>
                              <w:szCs w:val="24"/>
                            </w:rPr>
                            <w:t>1</w:t>
                          </w:r>
                          <w: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pPr>
                    <w:r>
                      <w:rPr>
                        <w:rFonts w:hint="eastAsia"/>
                        <w:lang w:eastAsia="zh-CN"/>
                      </w:rPr>
                      <w:t xml:space="preserve">— </w:t>
                    </w:r>
                    <w:r>
                      <w:fldChar w:fldCharType="begin"/>
                    </w:r>
                    <w:r>
                      <w:instrText xml:space="preserve">PAGE  </w:instrText>
                    </w:r>
                    <w:r>
                      <w:fldChar w:fldCharType="separate"/>
                    </w:r>
                    <w:r>
                      <w:rPr>
                        <w:sz w:val="24"/>
                        <w:szCs w:val="24"/>
                      </w:rPr>
                      <w:t>1</w:t>
                    </w:r>
                    <w:r>
                      <w:fldChar w:fldCharType="end"/>
                    </w:r>
                    <w:r>
                      <w:rPr>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C5160"/>
    <w:multiLevelType w:val="singleLevel"/>
    <w:tmpl w:val="D59C5160"/>
    <w:lvl w:ilvl="0" w:tentative="0">
      <w:start w:val="2"/>
      <w:numFmt w:val="chineseCounting"/>
      <w:suff w:val="nothing"/>
      <w:lvlText w:val="（%1）"/>
      <w:lvlJc w:val="left"/>
      <w:rPr>
        <w:rFonts w:hint="eastAsia"/>
      </w:rPr>
    </w:lvl>
  </w:abstractNum>
  <w:abstractNum w:abstractNumId="1">
    <w:nsid w:val="1C796812"/>
    <w:multiLevelType w:val="singleLevel"/>
    <w:tmpl w:val="1C79681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B1421"/>
    <w:rsid w:val="0757351E"/>
    <w:rsid w:val="0DE5661D"/>
    <w:rsid w:val="10BD5101"/>
    <w:rsid w:val="10DC043A"/>
    <w:rsid w:val="13593A3E"/>
    <w:rsid w:val="13AC1A76"/>
    <w:rsid w:val="155D47EF"/>
    <w:rsid w:val="18747A9E"/>
    <w:rsid w:val="1AB77719"/>
    <w:rsid w:val="1B48729D"/>
    <w:rsid w:val="1B914FF0"/>
    <w:rsid w:val="201814DD"/>
    <w:rsid w:val="231A2320"/>
    <w:rsid w:val="239D1852"/>
    <w:rsid w:val="2663262A"/>
    <w:rsid w:val="2A2E534F"/>
    <w:rsid w:val="2A3D00D5"/>
    <w:rsid w:val="2D3709C6"/>
    <w:rsid w:val="2D7D733E"/>
    <w:rsid w:val="2FFC12BC"/>
    <w:rsid w:val="3B797E0D"/>
    <w:rsid w:val="3B937434"/>
    <w:rsid w:val="3CD75011"/>
    <w:rsid w:val="3F2C2F5D"/>
    <w:rsid w:val="3F450772"/>
    <w:rsid w:val="3F5C02B5"/>
    <w:rsid w:val="3F912850"/>
    <w:rsid w:val="5671257F"/>
    <w:rsid w:val="5A9409A9"/>
    <w:rsid w:val="5AB7050D"/>
    <w:rsid w:val="5C4B1421"/>
    <w:rsid w:val="5C5B57FC"/>
    <w:rsid w:val="5E746A8B"/>
    <w:rsid w:val="5F7E2365"/>
    <w:rsid w:val="719B5B3F"/>
    <w:rsid w:val="72FA5BE0"/>
    <w:rsid w:val="73537847"/>
    <w:rsid w:val="754D386F"/>
    <w:rsid w:val="76A26703"/>
    <w:rsid w:val="7922476F"/>
    <w:rsid w:val="7D026674"/>
    <w:rsid w:val="7EE5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2021-06-28T07:22:00Z</dcterms:created>
  <dc:creator>Administrator</dc:creator>
  <cp:lastModifiedBy>芳芳</cp:lastModifiedBy>
  <dcterms:modified xsi:type="dcterms:W3CDTF">2021-07-20T01:58:10Z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5063356879DA437B8B3E2718B14DDAAD</vt:lpwstr>
  </property>
</Properties>
</file>